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276" w:before="57" w:after="57"/>
        <w:ind w:hanging="0" w:left="0" w:right="0"/>
        <w:jc w:val="center"/>
        <w:rPr>
          <w:rFonts w:ascii="Verdana" w:hAnsi="Verdana"/>
          <w:sz w:val="20"/>
          <w:szCs w:val="20"/>
        </w:rPr>
      </w:pPr>
      <w:r>
        <w:rPr>
          <w:rFonts w:ascii="Verdana" w:hAnsi="Verdana"/>
          <w:b/>
          <w:bCs/>
          <w:color w:val="auto"/>
          <w:sz w:val="20"/>
          <w:szCs w:val="20"/>
        </w:rPr>
        <w:t>ANEXO I -</w:t>
      </w:r>
      <w:r>
        <w:rPr>
          <w:rFonts w:ascii="Verdana" w:hAnsi="Verdana"/>
          <w:b/>
          <w:bCs/>
          <w:color w:val="auto"/>
          <w:sz w:val="20"/>
          <w:szCs w:val="20"/>
        </w:rPr>
        <w:t xml:space="preserve"> TERMO DE REFERÊNCIA – LEI 14.133/21</w:t>
      </w:r>
    </w:p>
    <w:p>
      <w:pPr>
        <w:pStyle w:val="Normal"/>
        <w:spacing w:lineRule="auto" w:line="276" w:before="57" w:after="57"/>
        <w:ind w:right="0"/>
        <w:jc w:val="center"/>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right="0"/>
        <w:jc w:val="center"/>
        <w:rPr>
          <w:rFonts w:ascii="Verdana" w:hAnsi="Verdana"/>
          <w:sz w:val="20"/>
          <w:szCs w:val="20"/>
        </w:rPr>
      </w:pPr>
      <w:r>
        <w:rPr>
          <w:rFonts w:ascii="Verdana" w:hAnsi="Verdana"/>
          <w:b/>
          <w:bCs/>
          <w:iCs/>
          <w:color w:val="auto"/>
          <w:sz w:val="20"/>
          <w:szCs w:val="20"/>
        </w:rPr>
        <w:t xml:space="preserve">REGISTRO DE PREÇOS – </w:t>
      </w:r>
      <w:r>
        <w:rPr>
          <w:rFonts w:eastAsia="Times New Roman" w:cs="Arial" w:ascii="Verdana" w:hAnsi="Verdana"/>
          <w:b/>
          <w:bCs/>
          <w:iCs/>
          <w:color w:val="auto"/>
          <w:sz w:val="20"/>
          <w:szCs w:val="20"/>
          <w:u w:val="none"/>
        </w:rPr>
        <w:t xml:space="preserve">AQUISIÇÃO DE </w:t>
      </w:r>
      <w:r>
        <w:rPr>
          <w:rFonts w:eastAsia="Times New Roman" w:cs="Arial" w:ascii="Verdana" w:hAnsi="Verdana"/>
          <w:b/>
          <w:bCs w:val="false"/>
          <w:iCs/>
          <w:color w:val="auto"/>
          <w:sz w:val="20"/>
          <w:szCs w:val="20"/>
          <w:u w:val="none"/>
        </w:rPr>
        <w:t>COMPRESSA DE GAZE</w:t>
      </w:r>
    </w:p>
    <w:p>
      <w:pPr>
        <w:pStyle w:val="Normal"/>
        <w:spacing w:lineRule="auto" w:line="276" w:before="57" w:after="57"/>
        <w:ind w:right="0"/>
        <w:jc w:val="center"/>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right="0"/>
        <w:jc w:val="center"/>
        <w:rPr>
          <w:rFonts w:ascii="Verdana" w:hAnsi="Verdana"/>
          <w:sz w:val="20"/>
          <w:szCs w:val="20"/>
        </w:rPr>
      </w:pPr>
      <w:r>
        <w:rPr>
          <w:rFonts w:cs="Arial" w:ascii="Verdana" w:hAnsi="Verdana"/>
          <w:b/>
          <w:bCs/>
          <w:i w:val="false"/>
          <w:iCs w:val="false"/>
          <w:color w:val="auto"/>
          <w:sz w:val="20"/>
          <w:szCs w:val="20"/>
        </w:rPr>
        <w:t xml:space="preserve">Processo Administrativo nº </w:t>
      </w:r>
      <w:r>
        <w:rPr>
          <w:rFonts w:eastAsia="Times New Roman" w:cs="Times New Roman" w:ascii="Verdana" w:hAnsi="Verdana"/>
          <w:b/>
          <w:bCs/>
          <w:i w:val="false"/>
          <w:iCs w:val="false"/>
          <w:color w:val="auto"/>
          <w:sz w:val="20"/>
          <w:szCs w:val="20"/>
        </w:rPr>
        <w:t>_______</w:t>
      </w:r>
      <w:r>
        <w:rPr>
          <w:rFonts w:cs="Arial" w:ascii="Verdana" w:hAnsi="Verdana"/>
          <w:b/>
          <w:bCs/>
          <w:i w:val="false"/>
          <w:iCs w:val="false"/>
          <w:color w:val="auto"/>
          <w:sz w:val="20"/>
          <w:szCs w:val="20"/>
        </w:rPr>
        <w:t>/2024 de 15 de outubro de 2024 (Secretaria Municipal de Saúde)</w:t>
      </w:r>
    </w:p>
    <w:p>
      <w:pPr>
        <w:pStyle w:val="Normal"/>
        <w:spacing w:lineRule="auto" w:line="276" w:before="57" w:after="57"/>
        <w:ind w:right="0"/>
        <w:jc w:val="center"/>
        <w:rPr>
          <w:rFonts w:ascii="Verdana" w:hAnsi="Verdana" w:cs="Arial"/>
          <w:b/>
          <w:color w:val="auto"/>
          <w:sz w:val="20"/>
          <w:szCs w:val="20"/>
          <w:u w:val="single"/>
        </w:rPr>
      </w:pPr>
      <w:r>
        <w:rPr>
          <w:rFonts w:cs="Arial" w:ascii="Verdana" w:hAnsi="Verdana"/>
          <w:b/>
          <w:color w:val="auto"/>
          <w:sz w:val="20"/>
          <w:szCs w:val="20"/>
          <w:u w:val="single"/>
        </w:rPr>
      </w:r>
    </w:p>
    <w:p>
      <w:pPr>
        <w:pStyle w:val="Nivel1"/>
        <w:spacing w:lineRule="auto" w:line="276" w:before="57" w:after="57"/>
        <w:ind w:hanging="0" w:left="0" w:right="0"/>
        <w:rPr>
          <w:rFonts w:ascii="Verdana" w:hAnsi="Verdana"/>
          <w:sz w:val="20"/>
          <w:szCs w:val="20"/>
        </w:rPr>
      </w:pPr>
      <w:r>
        <w:rPr>
          <w:rFonts w:cs="Times New Roman" w:ascii="Verdana" w:hAnsi="Verdana"/>
          <w:bCs/>
          <w:color w:val="auto"/>
          <w:sz w:val="20"/>
          <w:szCs w:val="20"/>
        </w:rPr>
        <w:t>1. DAS CONDIÇÕES GERAIS DA AQUISIÇÃO</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Cs/>
          <w:color w:val="auto"/>
          <w:sz w:val="20"/>
          <w:szCs w:val="20"/>
        </w:rPr>
        <w:t>1.1 Abertura de Processo Licitatório  - Registro de preços</w:t>
      </w:r>
      <w:r>
        <w:rPr>
          <w:rFonts w:ascii="Verdana" w:hAnsi="Verdana"/>
          <w:b/>
          <w:bCs/>
          <w:iCs/>
          <w:color w:val="auto"/>
          <w:sz w:val="20"/>
          <w:szCs w:val="20"/>
        </w:rPr>
        <w:t xml:space="preserve"> </w:t>
      </w:r>
      <w:r>
        <w:rPr>
          <w:rFonts w:ascii="Verdana" w:hAnsi="Verdana"/>
          <w:iCs/>
          <w:color w:val="auto"/>
          <w:sz w:val="20"/>
          <w:szCs w:val="20"/>
        </w:rPr>
        <w:t>para aquisição de compressas de gazes para atender às necessidades das Unidades Básicas de Saúde da</w:t>
      </w:r>
      <w:r>
        <w:rPr>
          <w:rFonts w:eastAsia="Times New Roman" w:cs="Times New Roman" w:ascii="Verdana" w:hAnsi="Verdana"/>
          <w:iCs/>
          <w:color w:val="auto"/>
          <w:sz w:val="20"/>
          <w:szCs w:val="20"/>
        </w:rPr>
        <w:t xml:space="preserve"> Secretaria Municipal de Saúde.</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cs="Arial"/>
          <w:b/>
          <w:color w:val="auto"/>
          <w:sz w:val="20"/>
          <w:szCs w:val="20"/>
          <w:u w:val="single"/>
        </w:rPr>
      </w:pPr>
      <w:r>
        <w:rPr>
          <w:rFonts w:cs="Arial" w:ascii="Verdana" w:hAnsi="Verdana"/>
          <w:b/>
          <w:color w:val="auto"/>
          <w:sz w:val="20"/>
          <w:szCs w:val="20"/>
          <w:u w:val="single"/>
        </w:rPr>
      </w:r>
    </w:p>
    <w:tbl>
      <w:tblPr>
        <w:tblW w:w="9281" w:type="dxa"/>
        <w:jc w:val="center"/>
        <w:tblInd w:w="0" w:type="dxa"/>
        <w:tblLayout w:type="fixed"/>
        <w:tblCellMar>
          <w:top w:w="0" w:type="dxa"/>
          <w:left w:w="70" w:type="dxa"/>
          <w:bottom w:w="0" w:type="dxa"/>
          <w:right w:w="70" w:type="dxa"/>
        </w:tblCellMar>
      </w:tblPr>
      <w:tblGrid>
        <w:gridCol w:w="705"/>
        <w:gridCol w:w="3675"/>
        <w:gridCol w:w="1020"/>
        <w:gridCol w:w="976"/>
        <w:gridCol w:w="1186"/>
        <w:gridCol w:w="1718"/>
      </w:tblGrid>
      <w:tr>
        <w:trPr>
          <w:trHeight w:val="269" w:hRule="atLeast"/>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right="0"/>
              <w:jc w:val="center"/>
              <w:rPr>
                <w:rFonts w:ascii="Verdana" w:hAnsi="Verdana"/>
                <w:sz w:val="20"/>
                <w:szCs w:val="20"/>
              </w:rPr>
            </w:pPr>
            <w:r>
              <w:rPr>
                <w:rFonts w:cs="Arial" w:ascii="Verdana" w:hAnsi="Verdana"/>
                <w:b/>
                <w:bCs/>
                <w:color w:val="auto"/>
                <w:sz w:val="20"/>
                <w:szCs w:val="20"/>
              </w:rPr>
              <w:t>Item</w:t>
            </w:r>
          </w:p>
        </w:tc>
        <w:tc>
          <w:tcPr>
            <w:tcW w:w="3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right="0"/>
              <w:jc w:val="center"/>
              <w:rPr>
                <w:rFonts w:ascii="Verdana" w:hAnsi="Verdana"/>
                <w:sz w:val="20"/>
                <w:szCs w:val="20"/>
              </w:rPr>
            </w:pPr>
            <w:r>
              <w:rPr>
                <w:rFonts w:cs="Arial" w:ascii="Verdana" w:hAnsi="Verdana"/>
                <w:b/>
                <w:bCs/>
                <w:color w:val="auto"/>
                <w:sz w:val="20"/>
                <w:szCs w:val="20"/>
              </w:rPr>
              <w:t>DESCRIÇÃO</w:t>
            </w:r>
          </w:p>
        </w:tc>
        <w:tc>
          <w:tcPr>
            <w:tcW w:w="1020"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76" w:before="57" w:after="57"/>
              <w:ind w:right="0"/>
              <w:jc w:val="center"/>
              <w:rPr>
                <w:rFonts w:ascii="Verdana" w:hAnsi="Verdana"/>
                <w:sz w:val="20"/>
                <w:szCs w:val="20"/>
              </w:rPr>
            </w:pPr>
            <w:r>
              <w:rPr>
                <w:rFonts w:cs="Arial" w:ascii="Verdana" w:hAnsi="Verdana"/>
                <w:b/>
                <w:bCs/>
                <w:color w:val="auto"/>
                <w:sz w:val="20"/>
                <w:szCs w:val="20"/>
              </w:rPr>
              <w:t>QUANT</w:t>
            </w:r>
          </w:p>
        </w:tc>
        <w:tc>
          <w:tcPr>
            <w:tcW w:w="976"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76" w:before="57" w:after="57"/>
              <w:ind w:right="0"/>
              <w:jc w:val="center"/>
              <w:rPr>
                <w:rFonts w:ascii="Verdana" w:hAnsi="Verdana"/>
                <w:sz w:val="20"/>
                <w:szCs w:val="20"/>
                <w:u w:val="none"/>
              </w:rPr>
            </w:pPr>
            <w:r>
              <w:rPr>
                <w:rFonts w:cs="Arial" w:ascii="Verdana" w:hAnsi="Verdana"/>
                <w:b/>
                <w:bCs/>
                <w:color w:val="auto"/>
                <w:sz w:val="20"/>
                <w:szCs w:val="20"/>
                <w:u w:val="none"/>
              </w:rPr>
              <w:t>UND</w:t>
            </w:r>
          </w:p>
        </w:tc>
        <w:tc>
          <w:tcPr>
            <w:tcW w:w="11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right="0"/>
              <w:jc w:val="center"/>
              <w:rPr>
                <w:rFonts w:ascii="Verdana" w:hAnsi="Verdana"/>
                <w:sz w:val="20"/>
                <w:szCs w:val="20"/>
              </w:rPr>
            </w:pPr>
            <w:r>
              <w:rPr>
                <w:rFonts w:cs="Arial" w:ascii="Verdana" w:hAnsi="Verdana"/>
                <w:b/>
                <w:bCs/>
                <w:color w:val="auto"/>
                <w:sz w:val="20"/>
                <w:szCs w:val="20"/>
              </w:rPr>
              <w:t>Preço unitário</w:t>
            </w:r>
            <w:r>
              <w:rPr>
                <w:rFonts w:cs="Arial" w:ascii="Verdana" w:hAnsi="Verdana"/>
                <w:b/>
                <w:bCs/>
                <w:color w:val="auto"/>
                <w:sz w:val="20"/>
                <w:szCs w:val="20"/>
                <w:u w:val="single"/>
              </w:rPr>
              <w:t xml:space="preserve"> </w:t>
            </w:r>
            <w:r>
              <w:rPr>
                <w:rFonts w:cs="Arial" w:ascii="Verdana" w:hAnsi="Verdana"/>
                <w:b/>
                <w:bCs/>
                <w:color w:val="auto"/>
                <w:sz w:val="20"/>
                <w:szCs w:val="20"/>
                <w:u w:val="none"/>
              </w:rPr>
              <w:t>estimado</w:t>
            </w:r>
          </w:p>
        </w:tc>
        <w:tc>
          <w:tcPr>
            <w:tcW w:w="17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right="0"/>
              <w:jc w:val="center"/>
              <w:rPr>
                <w:rFonts w:ascii="Verdana" w:hAnsi="Verdana"/>
                <w:sz w:val="20"/>
                <w:szCs w:val="20"/>
              </w:rPr>
            </w:pPr>
            <w:r>
              <w:rPr>
                <w:rFonts w:cs="Arial" w:ascii="Verdana" w:hAnsi="Verdana"/>
                <w:b/>
                <w:bCs/>
                <w:color w:val="auto"/>
                <w:sz w:val="20"/>
                <w:szCs w:val="20"/>
              </w:rPr>
              <w:t>Preço total</w:t>
            </w:r>
            <w:r>
              <w:rPr>
                <w:rFonts w:cs="Arial" w:ascii="Verdana" w:hAnsi="Verdana"/>
                <w:b/>
                <w:bCs/>
                <w:color w:val="auto"/>
                <w:sz w:val="20"/>
                <w:szCs w:val="20"/>
                <w:u w:val="single"/>
              </w:rPr>
              <w:t xml:space="preserve"> </w:t>
            </w:r>
            <w:r>
              <w:rPr>
                <w:rFonts w:cs="Arial" w:ascii="Verdana" w:hAnsi="Verdana"/>
                <w:b/>
                <w:bCs/>
                <w:color w:val="auto"/>
                <w:sz w:val="20"/>
                <w:szCs w:val="20"/>
                <w:u w:val="none"/>
              </w:rPr>
              <w:t>estimado</w:t>
            </w:r>
          </w:p>
        </w:tc>
      </w:tr>
      <w:tr>
        <w:trPr>
          <w:trHeight w:val="269" w:hRule="atLeast"/>
        </w:trPr>
        <w:tc>
          <w:tcPr>
            <w:tcW w:w="705"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before="57" w:after="57"/>
              <w:ind w:right="0"/>
              <w:jc w:val="center"/>
              <w:rPr>
                <w:rFonts w:ascii="Verdana" w:hAnsi="Verdana"/>
                <w:sz w:val="20"/>
                <w:szCs w:val="20"/>
              </w:rPr>
            </w:pPr>
            <w:r>
              <w:rPr>
                <w:rFonts w:cs="Arial" w:ascii="Verdana" w:hAnsi="Verdana"/>
                <w:b w:val="false"/>
                <w:bCs w:val="false"/>
                <w:color w:val="auto"/>
                <w:sz w:val="20"/>
                <w:szCs w:val="20"/>
                <w:u w:val="none"/>
              </w:rPr>
              <w:t>01</w:t>
            </w:r>
          </w:p>
        </w:tc>
        <w:tc>
          <w:tcPr>
            <w:tcW w:w="3675" w:type="dxa"/>
            <w:tcBorders>
              <w:left w:val="single" w:sz="4" w:space="0" w:color="000000"/>
              <w:bottom w:val="single" w:sz="4" w:space="0" w:color="000000"/>
              <w:right w:val="single" w:sz="4" w:space="0" w:color="000000"/>
            </w:tcBorders>
            <w:vAlign w:val="center"/>
          </w:tcPr>
          <w:p>
            <w:pPr>
              <w:pStyle w:val="TableParagraph"/>
              <w:widowControl w:val="false"/>
              <w:suppressAutoHyphens w:val="true"/>
              <w:bidi w:val="0"/>
              <w:spacing w:lineRule="auto" w:line="276" w:before="57" w:after="57"/>
              <w:ind w:hanging="0" w:left="113" w:right="0"/>
              <w:jc w:val="both"/>
              <w:rPr>
                <w:rFonts w:ascii="Verdana" w:hAnsi="Verdana"/>
                <w:sz w:val="20"/>
                <w:szCs w:val="20"/>
              </w:rPr>
            </w:pPr>
            <w:r>
              <w:rPr>
                <w:rFonts w:cs="Lato;sans-serif" w:ascii="Verdana" w:hAnsi="Verdana"/>
                <w:b w:val="false"/>
                <w:bCs/>
                <w:i w:val="false"/>
                <w:caps w:val="false"/>
                <w:smallCaps w:val="false"/>
                <w:color w:val="000000"/>
                <w:spacing w:val="0"/>
                <w:sz w:val="20"/>
                <w:szCs w:val="20"/>
                <w:shd w:fill="FFFFFF" w:val="clear"/>
              </w:rPr>
              <w:t>COMPRESSA DE GAZE ESTÉRIL MEDINDO 7,5CM X 7,5 CM . COR BRANCA. COMPOSIÇÃO: TECIDO 100% ALGODÃO. CARACTERÍSTICAS MÍNIMAS: MACIA E CONFORTÁVEL. TAMANHO: 7,5 CM X 7,5 CM. FORMATO: QUADRADA. MODELO: 11 OU 13 FIOS. CONTENDO 8 CAMADAS E 5 DOBRAS, OU SEJA, PACOTE CONTENDO 10 UNIDADES.</w:t>
            </w:r>
          </w:p>
        </w:tc>
        <w:tc>
          <w:tcPr>
            <w:tcW w:w="1020" w:type="dxa"/>
            <w:tcBorders>
              <w:left w:val="single" w:sz="4" w:space="0" w:color="000000"/>
              <w:bottom w:val="single" w:sz="4" w:space="0" w:color="000000"/>
            </w:tcBorders>
            <w:vAlign w:val="center"/>
          </w:tcPr>
          <w:p>
            <w:pPr>
              <w:pStyle w:val="Normal"/>
              <w:widowControl w:val="false"/>
              <w:spacing w:lineRule="auto" w:line="276" w:before="57" w:after="57"/>
              <w:ind w:right="0"/>
              <w:jc w:val="center"/>
              <w:rPr>
                <w:rFonts w:ascii="Verdana" w:hAnsi="Verdana"/>
                <w:sz w:val="20"/>
                <w:szCs w:val="20"/>
              </w:rPr>
            </w:pPr>
            <w:r>
              <w:rPr>
                <w:rFonts w:eastAsia="Times New Roman" w:cs="Times New Roman" w:ascii="Verdana" w:hAnsi="Verdana"/>
                <w:color w:val="auto"/>
                <w:sz w:val="20"/>
                <w:szCs w:val="20"/>
                <w:lang w:val="pt-BR"/>
              </w:rPr>
              <w:t>200.000</w:t>
            </w:r>
          </w:p>
        </w:tc>
        <w:tc>
          <w:tcPr>
            <w:tcW w:w="976" w:type="dxa"/>
            <w:tcBorders>
              <w:left w:val="single" w:sz="4" w:space="0" w:color="000000"/>
              <w:bottom w:val="single" w:sz="4" w:space="0" w:color="000000"/>
            </w:tcBorders>
            <w:vAlign w:val="center"/>
          </w:tcPr>
          <w:p>
            <w:pPr>
              <w:pStyle w:val="Normal"/>
              <w:widowControl w:val="false"/>
              <w:spacing w:lineRule="auto" w:line="276" w:before="57" w:after="57"/>
              <w:ind w:right="0"/>
              <w:jc w:val="center"/>
              <w:rPr>
                <w:rFonts w:ascii="Verdana" w:hAnsi="Verdana"/>
                <w:sz w:val="20"/>
                <w:szCs w:val="20"/>
              </w:rPr>
            </w:pPr>
            <w:r>
              <w:rPr>
                <w:rFonts w:eastAsia="Times New Roman" w:cs="Times New Roman" w:ascii="Verdana" w:hAnsi="Verdana"/>
                <w:color w:val="auto"/>
                <w:sz w:val="20"/>
                <w:szCs w:val="20"/>
                <w:lang w:val="pt-BR"/>
              </w:rPr>
              <w:t>PACOTE</w:t>
            </w:r>
          </w:p>
        </w:tc>
        <w:tc>
          <w:tcPr>
            <w:tcW w:w="1186" w:type="dxa"/>
            <w:tcBorders>
              <w:left w:val="single" w:sz="4" w:space="0" w:color="000000"/>
              <w:bottom w:val="single" w:sz="4" w:space="0" w:color="000000"/>
              <w:right w:val="single" w:sz="4" w:space="0" w:color="000000"/>
            </w:tcBorders>
            <w:vAlign w:val="center"/>
          </w:tcPr>
          <w:p>
            <w:pPr>
              <w:pStyle w:val="Normal"/>
              <w:widowControl w:val="false"/>
              <w:spacing w:lineRule="auto" w:line="276" w:before="57" w:after="57"/>
              <w:ind w:right="0"/>
              <w:jc w:val="center"/>
              <w:rPr>
                <w:rFonts w:ascii="Verdana" w:hAnsi="Verdana"/>
                <w:sz w:val="20"/>
                <w:szCs w:val="20"/>
              </w:rPr>
            </w:pPr>
            <w:r>
              <w:rPr>
                <w:rFonts w:ascii="Verdana" w:hAnsi="Verdana"/>
                <w:color w:val="auto"/>
                <w:sz w:val="20"/>
                <w:szCs w:val="20"/>
              </w:rPr>
              <w:t>R$ 0,87</w:t>
            </w:r>
          </w:p>
        </w:tc>
        <w:tc>
          <w:tcPr>
            <w:tcW w:w="1718" w:type="dxa"/>
            <w:tcBorders>
              <w:left w:val="single" w:sz="4" w:space="0" w:color="000000"/>
              <w:bottom w:val="single" w:sz="4" w:space="0" w:color="000000"/>
              <w:right w:val="single" w:sz="4" w:space="0" w:color="000000"/>
            </w:tcBorders>
            <w:vAlign w:val="center"/>
          </w:tcPr>
          <w:p>
            <w:pPr>
              <w:pStyle w:val="Normal"/>
              <w:widowControl w:val="false"/>
              <w:spacing w:lineRule="auto" w:line="276" w:before="57" w:after="57"/>
              <w:ind w:right="0"/>
              <w:jc w:val="center"/>
              <w:rPr>
                <w:rFonts w:ascii="Verdana" w:hAnsi="Verdana"/>
                <w:sz w:val="20"/>
                <w:szCs w:val="20"/>
              </w:rPr>
            </w:pPr>
            <w:r>
              <w:rPr>
                <w:rFonts w:ascii="Verdana" w:hAnsi="Verdana"/>
                <w:color w:val="auto"/>
                <w:sz w:val="20"/>
                <w:szCs w:val="20"/>
              </w:rPr>
              <w:t>R$ 174.000,00</w:t>
            </w:r>
          </w:p>
        </w:tc>
      </w:tr>
      <w:tr>
        <w:trPr>
          <w:trHeight w:val="611" w:hRule="atLeast"/>
        </w:trPr>
        <w:tc>
          <w:tcPr>
            <w:tcW w:w="9280" w:type="dxa"/>
            <w:gridSpan w:val="6"/>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right="0"/>
              <w:jc w:val="right"/>
              <w:rPr>
                <w:rFonts w:ascii="Verdana" w:hAnsi="Verdana"/>
                <w:sz w:val="20"/>
                <w:szCs w:val="20"/>
              </w:rPr>
            </w:pPr>
            <w:r>
              <w:rPr>
                <w:rFonts w:cs="Arial" w:ascii="Verdana" w:hAnsi="Verdana"/>
                <w:b/>
                <w:bCs/>
                <w:color w:val="auto"/>
                <w:sz w:val="20"/>
                <w:szCs w:val="20"/>
              </w:rPr>
              <w:t>VALOR ESTIMADO TOTAL R$ 174.000,00</w:t>
            </w:r>
          </w:p>
        </w:tc>
      </w:tr>
    </w:tbl>
    <w:p>
      <w:pPr>
        <w:pStyle w:val="Normal"/>
        <w:widowControl w:val="false"/>
        <w:tabs>
          <w:tab w:val="clear" w:pos="708"/>
          <w:tab w:val="left" w:pos="0" w:leader="none"/>
        </w:tabs>
        <w:suppressAutoHyphens w:val="false"/>
        <w:spacing w:lineRule="auto" w:line="276" w:before="57" w:after="57"/>
        <w:ind w:hanging="0" w:left="0" w:right="0"/>
        <w:jc w:val="both"/>
        <w:rPr>
          <w:rFonts w:ascii="Verdana" w:hAnsi="Verdana" w:cs="Arial"/>
          <w:b/>
          <w:color w:val="auto"/>
          <w:sz w:val="20"/>
          <w:szCs w:val="20"/>
          <w:u w:val="single"/>
        </w:rPr>
      </w:pPr>
      <w:r>
        <w:rPr>
          <w:rFonts w:cs="Arial" w:ascii="Verdana" w:hAnsi="Verdana"/>
          <w:b/>
          <w:color w:val="auto"/>
          <w:sz w:val="20"/>
          <w:szCs w:val="20"/>
          <w:u w:val="single"/>
        </w:rPr>
      </w:r>
    </w:p>
    <w:p>
      <w:pPr>
        <w:pStyle w:val="Normal"/>
        <w:suppressAutoHyphens w:val="false"/>
        <w:spacing w:lineRule="auto" w:line="276" w:before="57" w:after="57"/>
        <w:ind w:hanging="0" w:left="0" w:right="0"/>
        <w:jc w:val="both"/>
        <w:rPr>
          <w:rFonts w:ascii="Verdana" w:hAnsi="Verdana"/>
          <w:sz w:val="20"/>
          <w:szCs w:val="20"/>
        </w:rPr>
      </w:pPr>
      <w:r>
        <w:rPr>
          <w:rFonts w:ascii="Verdana" w:hAnsi="Verdana"/>
          <w:b w:val="false"/>
          <w:bCs w:val="false"/>
          <w:iCs/>
          <w:color w:val="auto"/>
          <w:sz w:val="20"/>
          <w:szCs w:val="20"/>
        </w:rPr>
        <w:t>1.2</w:t>
      </w:r>
      <w:bookmarkStart w:id="0" w:name="art23§712"/>
      <w:r>
        <w:rPr>
          <w:rFonts w:ascii="Verdana" w:hAnsi="Verdana"/>
          <w:b w:val="false"/>
          <w:bCs w:val="false"/>
          <w:iCs/>
          <w:color w:val="auto"/>
          <w:sz w:val="20"/>
          <w:szCs w:val="20"/>
        </w:rPr>
        <w:t>. As compressas de gaze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Cs/>
          <w:color w:val="auto"/>
          <w:sz w:val="20"/>
          <w:szCs w:val="20"/>
        </w:rPr>
        <w:t>1.3.</w:t>
      </w:r>
      <w:r>
        <w:rPr>
          <w:rFonts w:ascii="Verdana" w:hAnsi="Verdana"/>
          <w:b w:val="false"/>
          <w:bCs w:val="false"/>
          <w:iCs/>
          <w:color w:val="auto"/>
          <w:sz w:val="20"/>
          <w:szCs w:val="20"/>
          <w:u w:val="none"/>
        </w:rPr>
        <w:t xml:space="preserve"> </w:t>
      </w:r>
      <w:r>
        <w:rPr>
          <w:rFonts w:cs="Arial" w:ascii="Verdana" w:hAnsi="Verdana"/>
          <w:b w:val="false"/>
          <w:bCs w:val="false"/>
          <w:iCs/>
          <w:color w:val="auto"/>
          <w:sz w:val="20"/>
          <w:szCs w:val="20"/>
          <w:u w:val="none"/>
        </w:rPr>
        <w:t xml:space="preserve">O prazo de vigência da </w:t>
      </w:r>
      <w:r>
        <w:rPr>
          <w:rFonts w:eastAsia="Times New Roman" w:cs="Arial" w:ascii="Verdana" w:hAnsi="Verdana"/>
          <w:b w:val="false"/>
          <w:bCs w:val="false"/>
          <w:iCs/>
          <w:color w:val="auto"/>
          <w:sz w:val="20"/>
          <w:szCs w:val="20"/>
          <w:u w:val="none"/>
        </w:rPr>
        <w:t>aquisição</w:t>
      </w:r>
      <w:r>
        <w:rPr>
          <w:rFonts w:cs="Arial" w:ascii="Verdana" w:hAnsi="Verdana"/>
          <w:b w:val="false"/>
          <w:bCs w:val="false"/>
          <w:iCs/>
          <w:color w:val="auto"/>
          <w:sz w:val="20"/>
          <w:szCs w:val="20"/>
          <w:u w:val="none"/>
        </w:rPr>
        <w:t xml:space="preserve"> será de 01 (</w:t>
      </w:r>
      <w:r>
        <w:rPr>
          <w:rFonts w:eastAsia="Times New Roman" w:cs="Arial" w:ascii="Verdana" w:hAnsi="Verdana"/>
          <w:b w:val="false"/>
          <w:bCs w:val="false"/>
          <w:iCs/>
          <w:color w:val="auto"/>
          <w:sz w:val="20"/>
          <w:szCs w:val="20"/>
          <w:u w:val="none"/>
        </w:rPr>
        <w:t>um</w:t>
      </w:r>
      <w:r>
        <w:rPr>
          <w:rFonts w:cs="Arial" w:ascii="Verdana" w:hAnsi="Verdana"/>
          <w:b w:val="false"/>
          <w:bCs w:val="false"/>
          <w:iCs/>
          <w:color w:val="auto"/>
          <w:sz w:val="20"/>
          <w:szCs w:val="20"/>
          <w:u w:val="none"/>
        </w:rPr>
        <w:t>) ano, contados a partir da assinatura da Ata de Registro de Preços.</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eastAsia="Times New Roman" w:cs="Times New Roman" w:ascii="Verdana" w:hAnsi="Verdana"/>
          <w:b w:val="false"/>
          <w:bCs w:val="false"/>
          <w:iCs/>
          <w:color w:val="auto"/>
          <w:sz w:val="20"/>
          <w:szCs w:val="20"/>
        </w:rPr>
        <w:t>1.4. O custo estimado total da aquisição é de</w:t>
      </w:r>
      <w:r>
        <w:rPr>
          <w:rFonts w:eastAsia="Times New Roman" w:cs="Times New Roman" w:ascii="Verdana" w:hAnsi="Verdana"/>
          <w:b w:val="false"/>
          <w:bCs w:val="false"/>
          <w:i/>
          <w:iCs/>
          <w:color w:val="auto"/>
          <w:sz w:val="20"/>
          <w:szCs w:val="20"/>
        </w:rPr>
        <w:t xml:space="preserve"> </w:t>
      </w:r>
      <w:r>
        <w:rPr>
          <w:rFonts w:eastAsia="Times New Roman" w:cs="Arial" w:ascii="Verdana" w:hAnsi="Verdana"/>
          <w:b w:val="false"/>
          <w:bCs w:val="false"/>
          <w:i w:val="false"/>
          <w:iCs w:val="false"/>
          <w:color w:val="auto"/>
          <w:sz w:val="20"/>
          <w:szCs w:val="20"/>
          <w:lang w:eastAsia="zh-CN"/>
        </w:rPr>
        <w:t xml:space="preserve">R$ </w:t>
      </w:r>
      <w:r>
        <w:rPr>
          <w:rFonts w:eastAsia="Times New Roman" w:cs="Arial" w:ascii="Verdana" w:hAnsi="Verdana"/>
          <w:b/>
          <w:bCs/>
          <w:i w:val="false"/>
          <w:iCs w:val="false"/>
          <w:color w:val="auto"/>
          <w:sz w:val="20"/>
          <w:szCs w:val="20"/>
          <w:lang w:eastAsia="zh-CN"/>
        </w:rPr>
        <w:t>174.000,00</w:t>
      </w:r>
      <w:r>
        <w:rPr>
          <w:rFonts w:eastAsia="Times New Roman" w:cs="Arial" w:ascii="Verdana" w:hAnsi="Verdana"/>
          <w:b w:val="false"/>
          <w:bCs w:val="false"/>
          <w:i w:val="false"/>
          <w:iCs w:val="false"/>
          <w:color w:val="auto"/>
          <w:sz w:val="20"/>
          <w:szCs w:val="20"/>
          <w:lang w:eastAsia="zh-CN"/>
        </w:rPr>
        <w:t xml:space="preserve"> (cento e setenta e quatro mil reais)</w:t>
      </w:r>
      <w:r>
        <w:rPr>
          <w:rFonts w:eastAsia="Times New Roman" w:cs="Times New Roman" w:ascii="Verdana" w:hAnsi="Verdana"/>
          <w:b w:val="false"/>
          <w:bCs w:val="false"/>
          <w:i/>
          <w:iCs/>
          <w:color w:val="auto"/>
          <w:sz w:val="20"/>
          <w:szCs w:val="20"/>
        </w:rPr>
        <w:t xml:space="preserve"> </w:t>
      </w:r>
      <w:r>
        <w:rPr>
          <w:rFonts w:eastAsia="Times New Roman" w:cs="Times New Roman" w:ascii="Verdana" w:hAnsi="Verdana"/>
          <w:b w:val="false"/>
          <w:bCs w:val="false"/>
          <w:iCs/>
          <w:color w:val="auto"/>
          <w:sz w:val="20"/>
          <w:szCs w:val="20"/>
        </w:rPr>
        <w:t>conforme custos unitários apostos nos orçame</w:t>
      </w:r>
      <w:r>
        <w:rPr>
          <w:rFonts w:eastAsia="Times New Roman" w:cs="Times New Roman" w:ascii="Verdana" w:hAnsi="Verdana"/>
          <w:iCs/>
          <w:color w:val="auto"/>
          <w:sz w:val="20"/>
          <w:szCs w:val="20"/>
        </w:rPr>
        <w:t>ntos e no quadro comparativo de preços simples em anexo.</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color w:val="auto"/>
          <w:sz w:val="20"/>
          <w:szCs w:val="20"/>
          <w:u w:val="none"/>
        </w:rPr>
        <w:t xml:space="preserve">1.5. </w:t>
      </w:r>
      <w:r>
        <w:rPr>
          <w:rFonts w:eastAsia="Times New Roman" w:cs="Times New Roman" w:ascii="Verdana" w:hAnsi="Verdana"/>
          <w:b w:val="false"/>
          <w:bCs w:val="false"/>
          <w:color w:val="auto"/>
          <w:sz w:val="20"/>
          <w:szCs w:val="20"/>
          <w:u w:val="none"/>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cs="Arial"/>
          <w:b/>
          <w:color w:val="auto"/>
          <w:sz w:val="20"/>
          <w:szCs w:val="20"/>
          <w:u w:val="single"/>
        </w:rPr>
      </w:pPr>
      <w:r>
        <w:rPr>
          <w:rFonts w:cs="Arial" w:ascii="Verdana" w:hAnsi="Verdana"/>
          <w:b/>
          <w:color w:val="auto"/>
          <w:sz w:val="20"/>
          <w:szCs w:val="20"/>
          <w:u w:val="single"/>
        </w:rPr>
      </w:r>
    </w:p>
    <w:p>
      <w:pPr>
        <w:pStyle w:val="Nivel1"/>
        <w:spacing w:lineRule="auto" w:line="276" w:before="57" w:after="57"/>
        <w:ind w:hanging="0" w:left="0" w:right="0"/>
        <w:rPr>
          <w:rFonts w:ascii="Verdana" w:hAnsi="Verdana"/>
          <w:sz w:val="20"/>
          <w:szCs w:val="20"/>
        </w:rPr>
      </w:pPr>
      <w:r>
        <w:rPr>
          <w:rFonts w:cs="Times New Roman" w:ascii="Verdana" w:hAnsi="Verdana"/>
          <w:bCs/>
          <w:color w:val="auto"/>
          <w:sz w:val="20"/>
          <w:szCs w:val="20"/>
        </w:rPr>
        <w:t>2. FUNDAMENTAÇÃO E DESCRIÇÃO DA NECESSIDADE DA AQUISIÇÃO</w:t>
      </w:r>
      <w:bookmarkStart w:id="2" w:name="art23§73"/>
      <w:bookmarkStart w:id="3" w:name="art23§71"/>
    </w:p>
    <w:p>
      <w:pPr>
        <w:pStyle w:val="ListParagraph"/>
        <w:spacing w:lineRule="auto" w:line="276" w:before="57" w:after="57"/>
        <w:ind w:hanging="0" w:left="0" w:right="0"/>
        <w:contextualSpacing w:val="false"/>
        <w:jc w:val="both"/>
        <w:rPr>
          <w:rFonts w:ascii="Verdana" w:hAnsi="Verdana"/>
          <w:sz w:val="20"/>
          <w:szCs w:val="20"/>
        </w:rPr>
      </w:pPr>
      <w:r>
        <w:rPr>
          <w:rFonts w:cs="Arial" w:ascii="Verdana" w:hAnsi="Verdana"/>
          <w:b/>
          <w:bCs/>
          <w:color w:val="auto"/>
          <w:sz w:val="20"/>
          <w:szCs w:val="20"/>
          <w:lang w:val="pt-BR"/>
        </w:rPr>
        <w:t>2</w:t>
      </w:r>
      <w:r>
        <w:rPr>
          <w:rFonts w:cs="Arial" w:ascii="Verdana" w:hAnsi="Verdana"/>
          <w:b/>
          <w:bCs/>
          <w:color w:val="auto"/>
          <w:sz w:val="20"/>
          <w:szCs w:val="20"/>
        </w:rPr>
        <w:t xml:space="preserve">.1. </w:t>
      </w:r>
      <w:r>
        <w:rPr>
          <w:rFonts w:cs="Arial" w:ascii="Verdana" w:hAnsi="Verdana"/>
          <w:color w:val="auto"/>
          <w:sz w:val="20"/>
          <w:szCs w:val="20"/>
        </w:rPr>
        <w:t xml:space="preserve">Aquisição </w:t>
      </w:r>
      <w:r>
        <w:rPr>
          <w:rFonts w:cs="Arial" w:ascii="Verdana" w:hAnsi="Verdana"/>
          <w:b/>
          <w:color w:val="auto"/>
          <w:sz w:val="20"/>
          <w:szCs w:val="20"/>
        </w:rPr>
        <w:t xml:space="preserve">por meio de </w:t>
      </w:r>
      <w:r>
        <w:rPr>
          <w:rFonts w:cs="Arial" w:ascii="Verdana" w:hAnsi="Verdana"/>
          <w:b/>
          <w:color w:val="auto"/>
          <w:sz w:val="20"/>
          <w:szCs w:val="20"/>
          <w:lang w:val="pt-BR"/>
        </w:rPr>
        <w:t>Registro de Preços</w:t>
      </w:r>
      <w:r>
        <w:rPr>
          <w:rFonts w:cs="Arial" w:ascii="Verdana" w:hAnsi="Verdana"/>
          <w:color w:val="auto"/>
          <w:sz w:val="20"/>
          <w:szCs w:val="20"/>
          <w:lang w:val="pt-BR"/>
        </w:rPr>
        <w:t>;</w:t>
      </w:r>
    </w:p>
    <w:p>
      <w:pPr>
        <w:pStyle w:val="PargrafodaLista"/>
        <w:widowControl w:val="false"/>
        <w:tabs>
          <w:tab w:val="clear" w:pos="708"/>
          <w:tab w:val="left" w:pos="-2410" w:leader="none"/>
          <w:tab w:val="left" w:pos="567" w:leader="none"/>
        </w:tabs>
        <w:spacing w:lineRule="auto" w:line="276" w:before="57" w:after="57"/>
        <w:ind w:hanging="0" w:left="0" w:right="0"/>
        <w:contextualSpacing w:val="false"/>
        <w:jc w:val="both"/>
        <w:rPr>
          <w:rFonts w:ascii="Verdana" w:hAnsi="Verdana"/>
          <w:sz w:val="20"/>
          <w:szCs w:val="20"/>
        </w:rPr>
      </w:pPr>
      <w:r>
        <w:rPr>
          <w:rFonts w:cs="Arial" w:ascii="Verdana" w:hAnsi="Verdana"/>
          <w:b/>
          <w:bCs/>
          <w:color w:val="000000"/>
          <w:sz w:val="20"/>
          <w:szCs w:val="20"/>
          <w:shd w:fill="auto" w:val="clear"/>
        </w:rPr>
        <w:t xml:space="preserve">2.2. </w:t>
      </w:r>
      <w:r>
        <w:rPr>
          <w:rFonts w:cs="Arial" w:ascii="Verdana" w:hAnsi="Verdana"/>
          <w:b w:val="false"/>
          <w:bCs w:val="false"/>
          <w:color w:val="000000"/>
          <w:sz w:val="20"/>
          <w:szCs w:val="20"/>
          <w:shd w:fill="auto" w:val="clear"/>
        </w:rPr>
        <w:t>Garantir os atendimentos e procedimentos que são realizados diariamente nas Unidades Básicas de Saúde, material de suma importância, pois é introduzido em todos os curativos realizados, tornando o procedimento seguro, livre de contaminação, pois a ferida não pode ficar exposta, agilizando também a introdução das medicações utilizadas em cada situação.</w:t>
      </w:r>
    </w:p>
    <w:p>
      <w:pPr>
        <w:pStyle w:val="PargrafodaLista"/>
        <w:widowControl w:val="false"/>
        <w:tabs>
          <w:tab w:val="clear" w:pos="708"/>
          <w:tab w:val="left" w:pos="-2410" w:leader="none"/>
          <w:tab w:val="left" w:pos="567" w:leader="none"/>
        </w:tabs>
        <w:spacing w:lineRule="auto" w:line="276" w:before="57" w:after="57"/>
        <w:ind w:hanging="0" w:left="0" w:right="0"/>
        <w:contextualSpacing w:val="false"/>
        <w:jc w:val="both"/>
        <w:rPr>
          <w:rFonts w:ascii="Verdana" w:hAnsi="Verdana"/>
          <w:sz w:val="20"/>
          <w:szCs w:val="20"/>
        </w:rPr>
      </w:pPr>
      <w:r>
        <w:rPr>
          <w:rFonts w:cs="Arial" w:ascii="Verdana" w:hAnsi="Verdana"/>
          <w:b/>
          <w:bCs/>
          <w:color w:val="000000"/>
          <w:sz w:val="20"/>
          <w:szCs w:val="20"/>
          <w:shd w:fill="auto" w:val="clear"/>
          <w:lang w:val="pt-BR"/>
        </w:rPr>
        <w:t xml:space="preserve">2.3. </w:t>
      </w:r>
      <w:r>
        <w:rPr>
          <w:rFonts w:cs="Arial" w:ascii="Verdana" w:hAnsi="Verdana"/>
          <w:b w:val="false"/>
          <w:bCs w:val="false"/>
          <w:color w:val="000000"/>
          <w:sz w:val="20"/>
          <w:szCs w:val="20"/>
          <w:shd w:fill="auto" w:val="clear"/>
          <w:lang w:val="pt-BR"/>
        </w:rPr>
        <w:t>As compressas de gaze estão se esgotando no estoque do almoxarifado desta secretaria, onde não possuímos atas vigentes para a aquisição do material, motivo pelo qual é necessário procedermos com abertura de processo licitatório que nos atenderá ao período de 1 (um) ano.</w:t>
      </w:r>
    </w:p>
    <w:p>
      <w:pPr>
        <w:pStyle w:val="PargrafodaLista"/>
        <w:widowControl w:val="false"/>
        <w:tabs>
          <w:tab w:val="clear" w:pos="708"/>
          <w:tab w:val="left" w:pos="-2410" w:leader="none"/>
          <w:tab w:val="left" w:pos="567" w:leader="none"/>
        </w:tabs>
        <w:spacing w:lineRule="auto" w:line="276" w:before="57" w:after="57"/>
        <w:ind w:hanging="0" w:left="0" w:right="0"/>
        <w:contextualSpacing w:val="false"/>
        <w:jc w:val="both"/>
        <w:rPr>
          <w:rFonts w:ascii="Verdana" w:hAnsi="Verdana"/>
          <w:sz w:val="20"/>
          <w:szCs w:val="20"/>
        </w:rPr>
      </w:pPr>
      <w:r>
        <w:rPr>
          <w:rFonts w:cs="Arial" w:ascii="Verdana" w:hAnsi="Verdana"/>
          <w:b w:val="false"/>
          <w:bCs w:val="false"/>
          <w:color w:val="000000"/>
          <w:sz w:val="20"/>
          <w:szCs w:val="20"/>
          <w:shd w:fill="auto" w:val="clear"/>
          <w:lang w:val="pt-BR"/>
        </w:rPr>
        <w:t>2.4.</w:t>
      </w:r>
      <w:r>
        <w:rPr>
          <w:rFonts w:cs="Arial" w:ascii="Verdana" w:hAnsi="Verdana"/>
          <w:b/>
          <w:bCs/>
          <w:color w:val="000000"/>
          <w:sz w:val="20"/>
          <w:szCs w:val="20"/>
          <w:shd w:fill="auto" w:val="clear"/>
          <w:lang w:val="pt-BR"/>
        </w:rPr>
        <w:t xml:space="preserve"> </w:t>
      </w:r>
      <w:r>
        <w:rPr>
          <w:rFonts w:cs="Arial" w:ascii="Verdana" w:hAnsi="Verdana"/>
          <w:b w:val="false"/>
          <w:bCs w:val="false"/>
          <w:color w:val="000000"/>
          <w:sz w:val="20"/>
          <w:szCs w:val="20"/>
          <w:shd w:fill="auto" w:val="clear"/>
          <w:lang w:val="pt-BR"/>
        </w:rPr>
        <w:t>Considerando a necessidade em manter a oferta dos procedimentos em curativos nas Unidades Básicas de saúde; lembrando que as Unidades de Saúde também realizam acompanhamento de feridas crônicas em pacientes acamados, onde os mesmos já se encontram vulneráveis, pois devido a pressão contínua em regiões com proeminência óssea, devido ao longo e continuo período que permanecem deitados na mesma posição.</w:t>
      </w:r>
    </w:p>
    <w:p>
      <w:pPr>
        <w:pStyle w:val="PargrafodaLista"/>
        <w:widowControl w:val="false"/>
        <w:tabs>
          <w:tab w:val="clear" w:pos="708"/>
          <w:tab w:val="left" w:pos="-2410" w:leader="none"/>
          <w:tab w:val="left" w:pos="567" w:leader="none"/>
        </w:tabs>
        <w:spacing w:lineRule="auto" w:line="276" w:before="57" w:after="57"/>
        <w:ind w:hanging="0" w:left="0" w:right="0"/>
        <w:contextualSpacing w:val="false"/>
        <w:jc w:val="both"/>
        <w:rPr>
          <w:rFonts w:ascii="Verdana" w:hAnsi="Verdana" w:cs="Arial"/>
          <w:b w:val="false"/>
          <w:bCs w:val="false"/>
          <w:color w:val="auto"/>
          <w:sz w:val="20"/>
          <w:szCs w:val="20"/>
          <w:shd w:fill="auto" w:val="clear"/>
          <w:lang w:val="pt-BR"/>
        </w:rPr>
      </w:pPr>
      <w:r>
        <w:rPr>
          <w:rFonts w:cs="Arial" w:ascii="Verdana" w:hAnsi="Verdana"/>
          <w:b w:val="false"/>
          <w:bCs w:val="false"/>
          <w:color w:val="000000"/>
          <w:sz w:val="20"/>
          <w:szCs w:val="20"/>
          <w:shd w:fill="auto" w:val="clear"/>
          <w:lang w:val="pt-BR"/>
        </w:rPr>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b/>
          <w:bCs/>
          <w:color w:val="auto"/>
          <w:sz w:val="20"/>
          <w:szCs w:val="20"/>
        </w:rPr>
        <w:t>3. DESCRIÇÃO DA SOLUÇÃO</w:t>
      </w:r>
    </w:p>
    <w:p>
      <w:pPr>
        <w:pStyle w:val="Normal"/>
        <w:spacing w:lineRule="auto" w:line="276" w:before="57" w:after="57"/>
        <w:ind w:hanging="0" w:left="0" w:right="0"/>
        <w:jc w:val="both"/>
        <w:rPr>
          <w:rFonts w:ascii="Verdana" w:hAnsi="Verdana"/>
          <w:sz w:val="20"/>
          <w:szCs w:val="20"/>
        </w:rPr>
      </w:pPr>
      <w:r>
        <w:rPr>
          <w:rFonts w:cs="Arial" w:ascii="Verdana" w:hAnsi="Verdana"/>
          <w:color w:val="auto"/>
          <w:sz w:val="20"/>
          <w:szCs w:val="20"/>
          <w:lang w:val="pt-BR"/>
        </w:rPr>
        <w:t>3.0. A solução consiste em manter a qualidade dos atendimentos nas equipes das Unidades Básicas de Saúde que atendem a população diariamente com procedimentos de curativos simples e feridas crônicas.</w:t>
      </w:r>
    </w:p>
    <w:p>
      <w:pPr>
        <w:pStyle w:val="Normal"/>
        <w:spacing w:lineRule="auto" w:line="276" w:before="57" w:after="57"/>
        <w:ind w:hanging="0" w:left="0" w:right="0"/>
        <w:jc w:val="both"/>
        <w:rPr>
          <w:rFonts w:ascii="Verdana" w:hAnsi="Verdana"/>
          <w:color w:val="auto"/>
          <w:sz w:val="20"/>
          <w:szCs w:val="20"/>
        </w:rPr>
      </w:pPr>
      <w:r>
        <w:rPr>
          <w:rFonts w:ascii="Verdana" w:hAnsi="Verdana"/>
          <w:color w:val="auto"/>
          <w:sz w:val="20"/>
          <w:szCs w:val="20"/>
        </w:rPr>
      </w:r>
    </w:p>
    <w:p>
      <w:pPr>
        <w:pStyle w:val="Nivel1"/>
        <w:spacing w:lineRule="auto" w:line="276" w:before="57" w:after="57"/>
        <w:ind w:hanging="0" w:left="0" w:right="0"/>
        <w:rPr>
          <w:rFonts w:ascii="Verdana" w:hAnsi="Verdana"/>
          <w:sz w:val="20"/>
          <w:szCs w:val="20"/>
        </w:rPr>
      </w:pPr>
      <w:r>
        <w:rPr>
          <w:rFonts w:ascii="Verdana" w:hAnsi="Verdana"/>
          <w:bCs/>
          <w:color w:val="auto"/>
          <w:sz w:val="20"/>
          <w:szCs w:val="20"/>
        </w:rPr>
        <w:t>4. CLASSIFICAÇÃO DOS BENS COMUNS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color w:val="auto"/>
          <w:sz w:val="20"/>
          <w:szCs w:val="20"/>
        </w:rPr>
        <w:t xml:space="preserve">4.1. Trata-se de bens comuns a ser contratado mediante </w:t>
      </w:r>
      <w:r>
        <w:rPr>
          <w:rFonts w:eastAsia="Times New Roman" w:cs="Arial" w:ascii="Verdana" w:hAnsi="Verdana"/>
          <w:b w:val="false"/>
          <w:bCs w:val="false"/>
          <w:color w:val="auto"/>
          <w:sz w:val="20"/>
          <w:szCs w:val="20"/>
        </w:rPr>
        <w:t>registro de preços</w:t>
      </w:r>
      <w:r>
        <w:rPr>
          <w:rFonts w:cs="Arial" w:ascii="Verdana" w:hAnsi="Verdana"/>
          <w:b w:val="false"/>
          <w:bCs w:val="false"/>
          <w:color w:val="auto"/>
          <w:sz w:val="20"/>
          <w:szCs w:val="20"/>
        </w:rPr>
        <w:t>.</w:t>
      </w:r>
    </w:p>
    <w:p>
      <w:pPr>
        <w:pStyle w:val="Normal"/>
        <w:spacing w:lineRule="auto" w:line="276" w:before="57" w:after="57"/>
        <w:ind w:hanging="0" w:left="0" w:right="0"/>
        <w:jc w:val="both"/>
        <w:rPr>
          <w:rFonts w:ascii="Verdana" w:hAnsi="Verdana"/>
          <w:color w:val="auto"/>
          <w:sz w:val="20"/>
          <w:szCs w:val="20"/>
        </w:rPr>
      </w:pPr>
      <w:r>
        <w:rPr>
          <w:rFonts w:ascii="Verdana" w:hAnsi="Verdana"/>
          <w:color w:val="auto"/>
          <w:sz w:val="20"/>
          <w:szCs w:val="20"/>
        </w:rPr>
      </w:r>
    </w:p>
    <w:p>
      <w:pPr>
        <w:pStyle w:val="Normal"/>
        <w:spacing w:lineRule="auto" w:line="276" w:before="57" w:after="57"/>
        <w:ind w:hanging="0" w:left="0" w:right="0"/>
        <w:jc w:val="both"/>
        <w:rPr>
          <w:rFonts w:ascii="Verdana" w:hAnsi="Verdana"/>
          <w:sz w:val="20"/>
          <w:szCs w:val="20"/>
        </w:rPr>
      </w:pPr>
      <w:r>
        <w:rPr>
          <w:rFonts w:cs="Arial" w:ascii="Verdana" w:hAnsi="Verdana"/>
          <w:b/>
          <w:bCs/>
          <w:color w:val="auto"/>
          <w:sz w:val="20"/>
          <w:szCs w:val="20"/>
        </w:rPr>
        <w:t>5. REQUISITOS DA CONTRATAÇÃO/AQUISIÇÃO</w:t>
      </w:r>
    </w:p>
    <w:p>
      <w:pPr>
        <w:pStyle w:val="Normal"/>
        <w:spacing w:lineRule="auto" w:line="276" w:before="57" w:after="57"/>
        <w:ind w:hanging="0" w:left="0" w:right="0"/>
        <w:jc w:val="both"/>
        <w:rPr>
          <w:rFonts w:ascii="Verdana" w:hAnsi="Verdana"/>
          <w:sz w:val="20"/>
          <w:szCs w:val="20"/>
        </w:rPr>
      </w:pPr>
      <w:r>
        <w:rPr>
          <w:rFonts w:ascii="Verdana" w:hAnsi="Verdana"/>
          <w:b w:val="false"/>
          <w:bCs w:val="false"/>
          <w:color w:val="auto"/>
          <w:sz w:val="20"/>
          <w:szCs w:val="20"/>
        </w:rPr>
        <w:t xml:space="preserve">A </w:t>
      </w:r>
      <w:r>
        <w:rPr>
          <w:rFonts w:eastAsia="Times New Roman" w:cs="Times New Roman" w:ascii="Verdana" w:hAnsi="Verdana"/>
          <w:b w:val="false"/>
          <w:bCs w:val="false"/>
          <w:color w:val="auto"/>
          <w:sz w:val="20"/>
          <w:szCs w:val="20"/>
        </w:rPr>
        <w:t>aquis</w:t>
      </w:r>
      <w:r>
        <w:rPr>
          <w:rFonts w:eastAsia="Times New Roman" w:cs="Times New Roman" w:ascii="Verdana" w:hAnsi="Verdana"/>
          <w:color w:val="auto"/>
          <w:sz w:val="20"/>
          <w:szCs w:val="20"/>
        </w:rPr>
        <w:t>ição</w:t>
      </w:r>
      <w:r>
        <w:rPr>
          <w:rFonts w:ascii="Verdana" w:hAnsi="Verdana"/>
          <w:color w:val="auto"/>
          <w:sz w:val="20"/>
          <w:szCs w:val="20"/>
        </w:rPr>
        <w:t xml:space="preserve"> deverá observar os seguintes requisitos:</w:t>
      </w:r>
    </w:p>
    <w:p>
      <w:pPr>
        <w:pStyle w:val="Normal"/>
        <w:spacing w:lineRule="auto" w:line="276" w:before="57" w:after="57"/>
        <w:ind w:hanging="0" w:left="0" w:right="0"/>
        <w:jc w:val="both"/>
        <w:rPr>
          <w:rFonts w:ascii="Verdana" w:hAnsi="Verdana"/>
          <w:sz w:val="20"/>
          <w:szCs w:val="20"/>
        </w:rPr>
      </w:pPr>
      <w:r>
        <w:rPr>
          <w:rFonts w:ascii="Verdana" w:hAnsi="Verdana"/>
          <w:b w:val="false"/>
          <w:bCs w:val="false"/>
          <w:color w:val="auto"/>
          <w:sz w:val="20"/>
          <w:szCs w:val="20"/>
        </w:rPr>
        <w:t>5.1. Não haverá danos ao meio ambiente, uma vez que a aquisição não gera  problema para a Administração Pública.</w:t>
      </w:r>
    </w:p>
    <w:p>
      <w:pPr>
        <w:pStyle w:val="ListParagraph"/>
        <w:tabs>
          <w:tab w:val="clear" w:pos="708"/>
          <w:tab w:val="left" w:pos="45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 w:val="false"/>
          <w:iCs w:val="false"/>
          <w:color w:val="auto"/>
          <w:sz w:val="20"/>
          <w:szCs w:val="20"/>
        </w:rPr>
        <w:t xml:space="preserve">5.2. A aquisição se dará por </w:t>
      </w:r>
      <w:r>
        <w:rPr>
          <w:rFonts w:eastAsia="Times New Roman" w:cs="Times New Roman" w:ascii="Verdana" w:hAnsi="Verdana"/>
          <w:b w:val="false"/>
          <w:bCs w:val="false"/>
          <w:i w:val="false"/>
          <w:iCs w:val="false"/>
          <w:color w:val="auto"/>
          <w:sz w:val="20"/>
          <w:szCs w:val="20"/>
        </w:rPr>
        <w:t>registro de preços</w:t>
      </w:r>
      <w:r>
        <w:rPr>
          <w:rFonts w:ascii="Verdana" w:hAnsi="Verdana"/>
          <w:b w:val="false"/>
          <w:bCs w:val="false"/>
          <w:i w:val="false"/>
          <w:iCs w:val="false"/>
          <w:color w:val="auto"/>
          <w:sz w:val="20"/>
          <w:szCs w:val="20"/>
        </w:rPr>
        <w:t xml:space="preserve">, </w:t>
      </w:r>
      <w:r>
        <w:rPr>
          <w:rFonts w:eastAsia="Times New Roman" w:cs="Arial" w:ascii="Verdana" w:hAnsi="Verdana"/>
          <w:b w:val="false"/>
          <w:bCs w:val="false"/>
          <w:i w:val="false"/>
          <w:iCs w:val="false"/>
          <w:color w:val="auto"/>
          <w:sz w:val="20"/>
          <w:szCs w:val="20"/>
        </w:rPr>
        <w:t xml:space="preserve">sendo necessária a emissão de autorização de fornecimento </w:t>
      </w:r>
      <w:r>
        <w:rPr>
          <w:rFonts w:eastAsia="Times New Roman" w:cs="Arial" w:ascii="Verdana" w:hAnsi="Verdana"/>
          <w:b w:val="false"/>
          <w:bCs w:val="false"/>
          <w:i w:val="false"/>
          <w:iCs w:val="false"/>
          <w:color w:val="auto"/>
          <w:sz w:val="20"/>
          <w:szCs w:val="20"/>
          <w:lang w:eastAsia="zh-CN"/>
        </w:rPr>
        <w:t xml:space="preserve">dos itens concedendo o prazo de 20 ( vinte)  dias para a entrega, </w:t>
      </w:r>
      <w:r>
        <w:rPr>
          <w:rFonts w:ascii="Verdana" w:hAnsi="Verdana"/>
          <w:b w:val="false"/>
          <w:bCs w:val="false"/>
          <w:i w:val="false"/>
          <w:iCs w:val="false"/>
          <w:color w:val="auto"/>
          <w:sz w:val="20"/>
          <w:szCs w:val="20"/>
        </w:rPr>
        <w:t>por parte DA CONTRATADA sendo sagrado vencedor o fornecedor que apresentar o menor valor por item a ser adquirido.</w:t>
      </w:r>
    </w:p>
    <w:p>
      <w:pPr>
        <w:pStyle w:val="ListParagraph"/>
        <w:tabs>
          <w:tab w:val="clear" w:pos="708"/>
          <w:tab w:val="left" w:pos="45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 w:val="false"/>
          <w:iCs w:val="false"/>
          <w:color w:val="auto"/>
          <w:sz w:val="20"/>
          <w:szCs w:val="20"/>
        </w:rPr>
        <w:t xml:space="preserve">5.3. </w:t>
      </w:r>
      <w:r>
        <w:rPr>
          <w:rFonts w:ascii="Verdana" w:hAnsi="Verdana"/>
          <w:b w:val="false"/>
          <w:bCs w:val="false"/>
          <w:i w:val="false"/>
          <w:iCs w:val="false"/>
          <w:color w:val="auto"/>
          <w:sz w:val="20"/>
          <w:szCs w:val="20"/>
          <w:u w:val="none"/>
        </w:rPr>
        <w:t xml:space="preserve">A empresa detentora da ata registrará o preço por 01 (um) </w:t>
      </w:r>
      <w:r>
        <w:rPr>
          <w:rFonts w:eastAsia="Times New Roman" w:cs="Times New Roman" w:ascii="Verdana" w:hAnsi="Verdana"/>
          <w:b w:val="false"/>
          <w:bCs w:val="false"/>
          <w:i w:val="false"/>
          <w:iCs w:val="false"/>
          <w:color w:val="auto"/>
          <w:sz w:val="20"/>
          <w:szCs w:val="20"/>
          <w:u w:val="none"/>
        </w:rPr>
        <w:t>ano</w:t>
      </w:r>
      <w:r>
        <w:rPr>
          <w:rFonts w:ascii="Verdana" w:hAnsi="Verdana"/>
          <w:b w:val="false"/>
          <w:bCs w:val="false"/>
          <w:i w:val="false"/>
          <w:iCs w:val="false"/>
          <w:color w:val="auto"/>
          <w:sz w:val="20"/>
          <w:szCs w:val="20"/>
        </w:rPr>
        <w:t>, podendo ou não a secretaria requisitar a entrega do material dependendo da demanda.</w:t>
      </w:r>
    </w:p>
    <w:p>
      <w:pPr>
        <w:pStyle w:val="Normal"/>
        <w:spacing w:lineRule="auto" w:line="276" w:before="57" w:after="57"/>
        <w:ind w:left="0" w:right="0"/>
        <w:jc w:val="both"/>
        <w:rPr>
          <w:rFonts w:ascii="Verdana" w:hAnsi="Verdana"/>
          <w:sz w:val="20"/>
          <w:szCs w:val="20"/>
        </w:rPr>
      </w:pPr>
      <w:r>
        <w:rPr>
          <w:rFonts w:cs="Arial" w:ascii="Verdana" w:hAnsi="Verdana"/>
          <w:b/>
          <w:bCs/>
          <w:color w:val="000000"/>
          <w:sz w:val="20"/>
          <w:szCs w:val="20"/>
          <w:shd w:fill="auto" w:val="clear"/>
        </w:rPr>
        <w:t>5.4.</w:t>
      </w:r>
      <w:r>
        <w:rPr>
          <w:rFonts w:cs="Arial" w:ascii="Verdana" w:hAnsi="Verdana"/>
          <w:b w:val="false"/>
          <w:bCs w:val="false"/>
          <w:color w:val="000000"/>
          <w:sz w:val="20"/>
          <w:szCs w:val="20"/>
          <w:shd w:fill="auto" w:val="clear"/>
        </w:rPr>
        <w:t xml:space="preserve"> Não transferir a outrem o objeto estabelecido neste TR, sem prévia e expressa anuência do contratante;</w:t>
      </w:r>
    </w:p>
    <w:p>
      <w:pPr>
        <w:pStyle w:val="Normal"/>
        <w:spacing w:lineRule="auto" w:line="276" w:before="57" w:after="57"/>
        <w:ind w:left="0" w:right="0"/>
        <w:jc w:val="both"/>
        <w:rPr>
          <w:rFonts w:ascii="Verdana" w:hAnsi="Verdana"/>
          <w:sz w:val="20"/>
          <w:szCs w:val="20"/>
        </w:rPr>
      </w:pPr>
      <w:r>
        <w:rPr>
          <w:rFonts w:cs="Arial" w:ascii="Verdana" w:hAnsi="Verdana"/>
          <w:b/>
          <w:bCs/>
          <w:color w:val="000000"/>
          <w:sz w:val="20"/>
          <w:szCs w:val="20"/>
          <w:shd w:fill="auto" w:val="clear"/>
        </w:rPr>
        <w:t xml:space="preserve">5.5. </w:t>
      </w:r>
      <w:r>
        <w:rPr>
          <w:rFonts w:cs="Arial" w:ascii="Verdana" w:hAnsi="Verdana"/>
          <w:b w:val="false"/>
          <w:bCs w:val="false"/>
          <w:color w:val="000000"/>
          <w:sz w:val="20"/>
          <w:szCs w:val="20"/>
          <w:shd w:fill="auto" w:val="clear"/>
        </w:rPr>
        <w:t>Manter, durante o período de vigência do contrato, todas as condições que enseiaram contratação, particularmente no que tange à regularidade fiscal, tributária, trabalhista e qualificação técnica;</w:t>
      </w:r>
    </w:p>
    <w:p>
      <w:pPr>
        <w:pStyle w:val="Normal"/>
        <w:spacing w:lineRule="auto" w:line="276" w:before="57" w:after="57"/>
        <w:ind w:left="0" w:right="0"/>
        <w:jc w:val="both"/>
        <w:rPr>
          <w:rFonts w:ascii="Verdana" w:hAnsi="Verdana"/>
          <w:sz w:val="20"/>
          <w:szCs w:val="20"/>
        </w:rPr>
      </w:pPr>
      <w:r>
        <w:rPr>
          <w:rFonts w:cs="Arial" w:ascii="Verdana" w:hAnsi="Verdana"/>
          <w:b/>
          <w:bCs/>
          <w:color w:val="000000"/>
          <w:sz w:val="20"/>
          <w:szCs w:val="20"/>
          <w:shd w:fill="auto" w:val="clear"/>
        </w:rPr>
        <w:t>5.6.</w:t>
      </w:r>
      <w:r>
        <w:rPr>
          <w:rFonts w:cs="Arial" w:ascii="Verdana" w:hAnsi="Verdana"/>
          <w:b w:val="false"/>
          <w:bCs w:val="false"/>
          <w:color w:val="000000"/>
          <w:sz w:val="20"/>
          <w:szCs w:val="20"/>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shd w:fill="auto" w:val="clear"/>
        </w:rPr>
        <w:t>5.7. Substituir no todo ou em parte do objeto deste termo que for entregue fora das especificações e/ou que apresentem defeitos, devendo fazê-lo no prazo determinado pela Secretaria requisitante, sem ônus para o Município de São Gabriel da Palha ES.</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shd w:fill="auto" w:val="clear"/>
        </w:rPr>
        <w:t>5.8. Substituir o produto que quando do seu uso ficar constatado que o mesmo não possui qualidade;</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shd w:fill="auto" w:val="clear"/>
        </w:rPr>
        <w:t>5.9.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shd w:fill="auto" w:val="clear"/>
        </w:rPr>
        <w:t>5.10. Fornecer todos os produtos com garantia de acordo com as exigências do Código de Defesa do Consumidor.</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shd w:fill="auto" w:val="clear"/>
        </w:rPr>
        <w:t>5.11. Fornecer as compressas de gaze com qualidade, garantia e Registro na ANVISA.</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shd w:fill="auto" w:val="clear"/>
        </w:rPr>
        <w:t>5.12. Fornecer as compressas de gaze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das penalidade previstas;</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shd w:fill="auto" w:val="clear"/>
        </w:rPr>
        <w:t>5.13. Responsabilizar-se por seus produtos até a data que expirar a validade dos mesmos (garantia), valendo para resolução de qualquer dúvida, o Código de Defesa do Consumidor;</w:t>
      </w:r>
    </w:p>
    <w:p>
      <w:pPr>
        <w:pStyle w:val="Normal"/>
        <w:spacing w:lineRule="auto" w:line="276" w:before="57" w:after="57"/>
        <w:ind w:left="0" w:right="0"/>
        <w:jc w:val="both"/>
        <w:rPr>
          <w:rFonts w:ascii="Verdana" w:hAnsi="Verdana"/>
          <w:sz w:val="20"/>
          <w:szCs w:val="20"/>
        </w:rPr>
      </w:pPr>
      <w:r>
        <w:rPr>
          <w:rFonts w:eastAsia="Calibri" w:cs="Arial" w:ascii="Verdana" w:hAnsi="Verdana"/>
          <w:b w:val="false"/>
          <w:bCs w:val="false"/>
          <w:color w:val="000000"/>
          <w:sz w:val="20"/>
          <w:szCs w:val="20"/>
          <w:highlight w:val="white"/>
          <w:shd w:fill="auto" w:val="clear"/>
        </w:rPr>
        <w:t>5.14. Manter seus dados atualizados perante a Contratada, fazendo comunicar eventuais alterações de representantes, fiscais de contrato, endereços, contatos e demais informações necessárias à execução do contrato.</w:t>
      </w:r>
    </w:p>
    <w:p>
      <w:pPr>
        <w:pStyle w:val="ListParagraph"/>
        <w:spacing w:lineRule="auto" w:line="276" w:before="57" w:after="57"/>
        <w:ind w:hanging="0" w:left="0" w:right="0"/>
        <w:contextualSpacing w:val="false"/>
        <w:jc w:val="both"/>
        <w:rPr>
          <w:rFonts w:ascii="Verdana" w:hAnsi="Verdana"/>
          <w:sz w:val="20"/>
          <w:szCs w:val="20"/>
        </w:rPr>
      </w:pPr>
      <w:r>
        <w:rPr>
          <w:rFonts w:cs="Arial" w:ascii="Verdana" w:hAnsi="Verdana"/>
          <w:b w:val="false"/>
          <w:bCs w:val="false"/>
          <w:i w:val="false"/>
          <w:iCs w:val="false"/>
          <w:color w:val="auto"/>
          <w:sz w:val="20"/>
          <w:szCs w:val="20"/>
        </w:rPr>
        <w:t xml:space="preserve">5.15. Não haverá exigência da garantia da </w:t>
      </w:r>
      <w:r>
        <w:rPr>
          <w:rFonts w:eastAsia="Times New Roman" w:cs="Arial" w:ascii="Verdana" w:hAnsi="Verdana"/>
          <w:b w:val="false"/>
          <w:bCs w:val="false"/>
          <w:i w:val="false"/>
          <w:iCs w:val="false"/>
          <w:color w:val="auto"/>
          <w:sz w:val="20"/>
          <w:szCs w:val="20"/>
        </w:rPr>
        <w:t>aquisição</w:t>
      </w:r>
      <w:r>
        <w:rPr>
          <w:rFonts w:cs="Arial" w:ascii="Verdana" w:hAnsi="Verdana"/>
          <w:b w:val="false"/>
          <w:bCs w:val="false"/>
          <w:i w:val="false"/>
          <w:iCs w:val="false"/>
          <w:color w:val="auto"/>
          <w:sz w:val="20"/>
          <w:szCs w:val="20"/>
        </w:rPr>
        <w:t xml:space="preserve"> dos arts. 96 e seguintes da Lei nº 14.133/21.</w:t>
      </w:r>
    </w:p>
    <w:p>
      <w:pPr>
        <w:pStyle w:val="ListParagraph"/>
        <w:spacing w:lineRule="auto" w:line="276" w:before="57" w:after="57"/>
        <w:ind w:hanging="0" w:left="0" w:right="0"/>
        <w:contextualSpacing w:val="false"/>
        <w:jc w:val="both"/>
        <w:rPr>
          <w:rFonts w:ascii="Verdana" w:hAnsi="Verdana" w:cs="Arial"/>
          <w:b/>
          <w:color w:val="auto"/>
          <w:sz w:val="20"/>
          <w:szCs w:val="20"/>
          <w:u w:val="single"/>
        </w:rPr>
      </w:pPr>
      <w:r>
        <w:rPr>
          <w:rFonts w:cs="Arial" w:ascii="Verdana" w:hAnsi="Verdana"/>
          <w:b/>
          <w:color w:val="auto"/>
          <w:sz w:val="20"/>
          <w:szCs w:val="20"/>
          <w:u w:val="single"/>
        </w:rPr>
      </w:r>
    </w:p>
    <w:p>
      <w:pPr>
        <w:pStyle w:val="Nivel1"/>
        <w:suppressAutoHyphens w:val="true"/>
        <w:spacing w:lineRule="auto" w:line="276" w:before="57" w:after="57"/>
        <w:ind w:hanging="0" w:left="0" w:right="0"/>
        <w:rPr>
          <w:rFonts w:ascii="Verdana" w:hAnsi="Verdana"/>
          <w:sz w:val="20"/>
          <w:szCs w:val="20"/>
        </w:rPr>
      </w:pPr>
      <w:r>
        <w:rPr>
          <w:rFonts w:ascii="Verdana" w:hAnsi="Verdana"/>
          <w:i w:val="false"/>
          <w:iCs w:val="false"/>
          <w:color w:val="auto"/>
          <w:sz w:val="20"/>
          <w:szCs w:val="20"/>
        </w:rPr>
        <w:t>6. ENTREGA E CRITÉRIOS DE ACEITAÇÃO DO OBJETO.</w:t>
      </w:r>
    </w:p>
    <w:p>
      <w:pPr>
        <w:pStyle w:val="Normal"/>
        <w:spacing w:lineRule="auto" w:line="276" w:before="57" w:after="57"/>
        <w:ind w:left="0" w:right="0"/>
        <w:jc w:val="both"/>
        <w:rPr>
          <w:rFonts w:ascii="Verdana" w:hAnsi="Verdana"/>
          <w:sz w:val="20"/>
          <w:szCs w:val="20"/>
        </w:rPr>
      </w:pPr>
      <w:r>
        <w:rPr>
          <w:rFonts w:cs="Arial" w:ascii="Verdana" w:hAnsi="Verdana"/>
          <w:b/>
          <w:color w:val="auto"/>
          <w:sz w:val="20"/>
          <w:szCs w:val="20"/>
          <w:lang w:val="pt-BR"/>
        </w:rPr>
        <w:t>6</w:t>
      </w:r>
      <w:r>
        <w:rPr>
          <w:rFonts w:cs="Arial" w:ascii="Verdana" w:hAnsi="Verdana"/>
          <w:b/>
          <w:color w:val="auto"/>
          <w:sz w:val="20"/>
          <w:szCs w:val="20"/>
        </w:rPr>
        <w:t>.1.</w:t>
      </w:r>
      <w:r>
        <w:rPr>
          <w:rFonts w:cs="Arial" w:ascii="Verdana" w:hAnsi="Verdana"/>
          <w:color w:val="auto"/>
          <w:sz w:val="20"/>
          <w:szCs w:val="20"/>
        </w:rPr>
        <w:t xml:space="preserve"> As compressas de gaze deverão ser entregues no Almoxarifado da Atenção Básica com localizaçã</w:t>
      </w:r>
      <w:r>
        <w:rPr>
          <w:rFonts w:cs="Arial" w:ascii="Verdana" w:hAnsi="Verdana"/>
          <w:color w:val="auto"/>
          <w:sz w:val="20"/>
          <w:szCs w:val="20"/>
          <w:lang w:val="pt-BR"/>
        </w:rPr>
        <w:t>o na sede do Município</w:t>
      </w:r>
      <w:r>
        <w:rPr>
          <w:rFonts w:cs="Arial" w:ascii="Verdana" w:hAnsi="Verdana"/>
          <w:color w:val="auto"/>
          <w:sz w:val="20"/>
          <w:szCs w:val="20"/>
        </w:rPr>
        <w:t>, de segunda a quinta feira das 07</w:t>
      </w:r>
      <w:r>
        <w:rPr>
          <w:rFonts w:cs="Arial" w:ascii="Verdana" w:hAnsi="Verdana"/>
          <w:color w:val="auto"/>
          <w:sz w:val="20"/>
          <w:szCs w:val="20"/>
          <w:lang w:val="pt-BR"/>
        </w:rPr>
        <w:t xml:space="preserve"> h</w:t>
      </w:r>
      <w:r>
        <w:rPr>
          <w:rFonts w:cs="Arial" w:ascii="Verdana" w:hAnsi="Verdana"/>
          <w:color w:val="auto"/>
          <w:sz w:val="20"/>
          <w:szCs w:val="20"/>
        </w:rPr>
        <w:t xml:space="preserve"> às 16 h, e na sexta feira de 7:00hs da manha até as 13 horas, observando os dias de funcionament</w:t>
      </w:r>
      <w:r>
        <w:rPr>
          <w:rFonts w:cs="Arial" w:ascii="Verdana" w:hAnsi="Verdana"/>
          <w:color w:val="auto"/>
          <w:sz w:val="20"/>
          <w:szCs w:val="20"/>
          <w:lang w:val="pt-BR"/>
        </w:rPr>
        <w:t xml:space="preserve">o, </w:t>
      </w:r>
      <w:r>
        <w:rPr>
          <w:rFonts w:cs="Arial" w:ascii="Verdana" w:hAnsi="Verdana"/>
          <w:color w:val="auto"/>
          <w:sz w:val="20"/>
          <w:szCs w:val="20"/>
        </w:rPr>
        <w:t xml:space="preserve">juntamente com a Nota Fiscal, pelo prazo de 20 (vinte) </w:t>
      </w:r>
      <w:r>
        <w:rPr>
          <w:rFonts w:cs="Arial" w:ascii="Verdana" w:hAnsi="Verdana"/>
          <w:b/>
          <w:bCs/>
          <w:color w:val="auto"/>
          <w:sz w:val="20"/>
          <w:szCs w:val="20"/>
        </w:rPr>
        <w:t xml:space="preserve">dias </w:t>
      </w:r>
      <w:r>
        <w:rPr>
          <w:rFonts w:cs="Arial" w:ascii="Verdana" w:hAnsi="Verdana"/>
          <w:color w:val="auto"/>
          <w:sz w:val="20"/>
          <w:szCs w:val="20"/>
        </w:rPr>
        <w:t xml:space="preserve">a contar do recebimento da Autorização de Fornecimento, emitida pelo Departamento </w:t>
      </w:r>
      <w:r>
        <w:rPr>
          <w:rFonts w:cs="Arial" w:ascii="Verdana" w:hAnsi="Verdana"/>
          <w:color w:val="auto"/>
          <w:sz w:val="20"/>
          <w:szCs w:val="20"/>
          <w:lang w:val="pt-BR"/>
        </w:rPr>
        <w:t>de Compras da Secretaria Municipal de Saúde.</w:t>
      </w:r>
    </w:p>
    <w:p>
      <w:pPr>
        <w:pStyle w:val="Normal"/>
        <w:spacing w:lineRule="auto" w:line="276" w:before="57" w:after="57"/>
        <w:ind w:left="0" w:right="0"/>
        <w:jc w:val="both"/>
        <w:rPr>
          <w:rFonts w:ascii="Verdana" w:hAnsi="Verdana"/>
          <w:sz w:val="20"/>
          <w:szCs w:val="20"/>
        </w:rPr>
      </w:pPr>
      <w:r>
        <w:rPr>
          <w:rFonts w:cs="Arial" w:ascii="Verdana" w:hAnsi="Verdana"/>
          <w:b/>
          <w:color w:val="auto"/>
          <w:sz w:val="20"/>
          <w:szCs w:val="20"/>
          <w:lang w:val="pt-BR"/>
        </w:rPr>
        <w:t>6</w:t>
      </w:r>
      <w:r>
        <w:rPr>
          <w:rFonts w:cs="Arial" w:ascii="Verdana" w:hAnsi="Verdana"/>
          <w:b/>
          <w:color w:val="auto"/>
          <w:sz w:val="20"/>
          <w:szCs w:val="20"/>
        </w:rPr>
        <w:t>.2.</w:t>
      </w:r>
      <w:r>
        <w:rPr>
          <w:rFonts w:cs="Arial" w:ascii="Verdana" w:hAnsi="Verdana"/>
          <w:color w:val="auto"/>
          <w:sz w:val="20"/>
          <w:szCs w:val="20"/>
        </w:rPr>
        <w:t xml:space="preserve"> A entrega deverá ocorrer sem qualquer ônus adicional, bem como a descarga e todas as demais despesas provenientes da mesma, previamente agendada com a Secretaria Municipal de Saúde.</w:t>
      </w:r>
    </w:p>
    <w:p>
      <w:pPr>
        <w:pStyle w:val="Normal"/>
        <w:spacing w:lineRule="auto" w:line="276" w:before="57" w:after="57"/>
        <w:ind w:left="0" w:right="0"/>
        <w:jc w:val="both"/>
        <w:rPr>
          <w:rFonts w:ascii="Verdana" w:hAnsi="Verdana"/>
          <w:sz w:val="20"/>
          <w:szCs w:val="20"/>
        </w:rPr>
      </w:pPr>
      <w:r>
        <w:rPr>
          <w:rFonts w:cs="Arial" w:ascii="Verdana" w:hAnsi="Verdana"/>
          <w:b/>
          <w:color w:val="auto"/>
          <w:sz w:val="20"/>
          <w:szCs w:val="20"/>
          <w:lang w:val="pt-BR"/>
        </w:rPr>
        <w:t>6</w:t>
      </w:r>
      <w:r>
        <w:rPr>
          <w:rFonts w:cs="Arial" w:ascii="Verdana" w:hAnsi="Verdana"/>
          <w:b/>
          <w:color w:val="auto"/>
          <w:sz w:val="20"/>
          <w:szCs w:val="20"/>
        </w:rPr>
        <w:t>.3.</w:t>
      </w:r>
      <w:r>
        <w:rPr>
          <w:rFonts w:cs="Arial" w:ascii="Verdana" w:hAnsi="Verdana"/>
          <w:color w:val="auto"/>
          <w:sz w:val="20"/>
          <w:szCs w:val="20"/>
        </w:rPr>
        <w:t xml:space="preserve"> A CONTRATADA garantirá a qualidade do produto obrigando-se a repor aquele que apresentar defeito ou for entregue em desacordo com o apresentado na proposta; </w:t>
      </w:r>
    </w:p>
    <w:p>
      <w:pPr>
        <w:pStyle w:val="Normal"/>
        <w:spacing w:lineRule="auto" w:line="276" w:before="57" w:after="57"/>
        <w:ind w:left="0" w:right="0"/>
        <w:jc w:val="both"/>
        <w:rPr>
          <w:rFonts w:ascii="Verdana" w:hAnsi="Verdana"/>
          <w:sz w:val="20"/>
          <w:szCs w:val="20"/>
        </w:rPr>
      </w:pPr>
      <w:r>
        <w:rPr>
          <w:rFonts w:cs="Arial" w:ascii="Verdana" w:hAnsi="Verdana"/>
          <w:b/>
          <w:color w:val="auto"/>
          <w:sz w:val="20"/>
          <w:szCs w:val="20"/>
          <w:lang w:val="pt-BR"/>
        </w:rPr>
        <w:t>6</w:t>
      </w:r>
      <w:r>
        <w:rPr>
          <w:rFonts w:cs="Arial" w:ascii="Verdana" w:hAnsi="Verdana"/>
          <w:b/>
          <w:color w:val="auto"/>
          <w:sz w:val="20"/>
          <w:szCs w:val="20"/>
        </w:rPr>
        <w:t>.</w:t>
      </w:r>
      <w:r>
        <w:rPr>
          <w:rFonts w:cs="Arial" w:ascii="Verdana" w:hAnsi="Verdana"/>
          <w:b/>
          <w:color w:val="auto"/>
          <w:sz w:val="20"/>
          <w:szCs w:val="20"/>
          <w:lang w:val="pt-BR"/>
        </w:rPr>
        <w:t>4.</w:t>
      </w:r>
      <w:r>
        <w:rPr>
          <w:rFonts w:cs="Arial" w:ascii="Verdana" w:hAnsi="Verdana"/>
          <w:color w:val="auto"/>
          <w:sz w:val="20"/>
          <w:szCs w:val="20"/>
        </w:rPr>
        <w:t xml:space="preserve"> O recebimento </w:t>
      </w:r>
      <w:r>
        <w:rPr>
          <w:rFonts w:cs="Arial" w:ascii="Verdana" w:hAnsi="Verdana"/>
          <w:b/>
          <w:color w:val="auto"/>
          <w:sz w:val="20"/>
          <w:szCs w:val="20"/>
        </w:rPr>
        <w:t>provisório</w:t>
      </w:r>
      <w:r>
        <w:rPr>
          <w:rFonts w:cs="Arial" w:ascii="Verdana" w:hAnsi="Verdana"/>
          <w:color w:val="auto"/>
          <w:sz w:val="20"/>
          <w:szCs w:val="20"/>
        </w:rPr>
        <w:t xml:space="preserve"> do material entregue dar-se-á pela conferência com a descrição constante da ordem de fornecimento;</w:t>
      </w:r>
    </w:p>
    <w:p>
      <w:pPr>
        <w:pStyle w:val="Normal"/>
        <w:spacing w:lineRule="auto" w:line="276" w:before="57" w:after="57"/>
        <w:ind w:left="0" w:right="0"/>
        <w:jc w:val="both"/>
        <w:rPr>
          <w:rFonts w:ascii="Verdana" w:hAnsi="Verdana"/>
          <w:sz w:val="20"/>
          <w:szCs w:val="20"/>
        </w:rPr>
      </w:pPr>
      <w:r>
        <w:rPr>
          <w:rFonts w:cs="Arial" w:ascii="Verdana" w:hAnsi="Verdana"/>
          <w:b/>
          <w:color w:val="auto"/>
          <w:sz w:val="20"/>
          <w:szCs w:val="20"/>
          <w:lang w:val="pt-BR"/>
        </w:rPr>
        <w:t>6</w:t>
      </w:r>
      <w:r>
        <w:rPr>
          <w:rFonts w:cs="Arial" w:ascii="Verdana" w:hAnsi="Verdana"/>
          <w:b/>
          <w:color w:val="auto"/>
          <w:sz w:val="20"/>
          <w:szCs w:val="20"/>
        </w:rPr>
        <w:t>.</w:t>
      </w:r>
      <w:r>
        <w:rPr>
          <w:rFonts w:cs="Arial" w:ascii="Verdana" w:hAnsi="Verdana"/>
          <w:b/>
          <w:color w:val="auto"/>
          <w:sz w:val="20"/>
          <w:szCs w:val="20"/>
          <w:lang w:val="pt-BR"/>
        </w:rPr>
        <w:t>5.</w:t>
      </w:r>
      <w:r>
        <w:rPr>
          <w:rFonts w:cs="Arial" w:ascii="Verdana" w:hAnsi="Verdana"/>
          <w:color w:val="auto"/>
          <w:sz w:val="20"/>
          <w:szCs w:val="20"/>
        </w:rPr>
        <w:t xml:space="preserve"> O recebimento </w:t>
      </w:r>
      <w:r>
        <w:rPr>
          <w:rFonts w:cs="Arial" w:ascii="Verdana" w:hAnsi="Verdana"/>
          <w:b/>
          <w:color w:val="auto"/>
          <w:sz w:val="20"/>
          <w:szCs w:val="20"/>
        </w:rPr>
        <w:t>definitivo</w:t>
      </w:r>
      <w:r>
        <w:rPr>
          <w:rFonts w:cs="Arial" w:ascii="Verdana" w:hAnsi="Verdana"/>
          <w:color w:val="auto"/>
          <w:sz w:val="20"/>
          <w:szCs w:val="20"/>
        </w:rPr>
        <w:t xml:space="preserve"> ocorrerá com a verificação integral das características do produto fornecido pela CONTRATADA;</w:t>
      </w:r>
    </w:p>
    <w:p>
      <w:pPr>
        <w:pStyle w:val="Normal"/>
        <w:spacing w:lineRule="auto" w:line="276" w:before="57" w:after="57"/>
        <w:ind w:left="0" w:right="0"/>
        <w:jc w:val="both"/>
        <w:rPr>
          <w:rFonts w:ascii="Verdana" w:hAnsi="Verdana"/>
          <w:sz w:val="20"/>
          <w:szCs w:val="20"/>
        </w:rPr>
      </w:pPr>
      <w:r>
        <w:rPr>
          <w:rFonts w:cs="Arial" w:ascii="Verdana" w:hAnsi="Verdana"/>
          <w:b/>
          <w:color w:val="auto"/>
          <w:sz w:val="20"/>
          <w:szCs w:val="20"/>
          <w:lang w:val="pt-BR"/>
        </w:rPr>
        <w:t>6</w:t>
      </w:r>
      <w:r>
        <w:rPr>
          <w:rFonts w:cs="Arial" w:ascii="Verdana" w:hAnsi="Verdana"/>
          <w:b/>
          <w:color w:val="auto"/>
          <w:sz w:val="20"/>
          <w:szCs w:val="20"/>
        </w:rPr>
        <w:t>.</w:t>
      </w:r>
      <w:r>
        <w:rPr>
          <w:rFonts w:cs="Arial" w:ascii="Verdana" w:hAnsi="Verdana"/>
          <w:b/>
          <w:color w:val="auto"/>
          <w:sz w:val="20"/>
          <w:szCs w:val="20"/>
          <w:lang w:val="pt-BR"/>
        </w:rPr>
        <w:t>6.</w:t>
      </w:r>
      <w:r>
        <w:rPr>
          <w:rFonts w:cs="Arial" w:ascii="Verdana" w:hAnsi="Verdana"/>
          <w:color w:val="auto"/>
          <w:sz w:val="20"/>
          <w:szCs w:val="20"/>
        </w:rPr>
        <w:t xml:space="preserve"> O recebimento definitivo não isenta a CONTRATADA de responsabilidades futuras quanto à qualidade dos fornecimentos e serviços prestados.</w:t>
      </w:r>
    </w:p>
    <w:p>
      <w:pPr>
        <w:pStyle w:val="Normal"/>
        <w:spacing w:lineRule="auto" w:line="276" w:before="57" w:after="57"/>
        <w:ind w:left="0" w:right="0"/>
        <w:jc w:val="both"/>
        <w:rPr>
          <w:rFonts w:ascii="Verdana" w:hAnsi="Verdana"/>
          <w:sz w:val="20"/>
          <w:szCs w:val="20"/>
        </w:rPr>
      </w:pPr>
      <w:r>
        <w:rPr>
          <w:rFonts w:cs="Arial" w:ascii="Verdana" w:hAnsi="Verdana"/>
          <w:b/>
          <w:color w:val="auto"/>
          <w:sz w:val="20"/>
          <w:szCs w:val="20"/>
          <w:lang w:val="pt-BR"/>
        </w:rPr>
        <w:t>6</w:t>
      </w:r>
      <w:r>
        <w:rPr>
          <w:rFonts w:cs="Arial" w:ascii="Verdana" w:hAnsi="Verdana"/>
          <w:b/>
          <w:color w:val="auto"/>
          <w:sz w:val="20"/>
          <w:szCs w:val="20"/>
        </w:rPr>
        <w:t>.</w:t>
      </w:r>
      <w:r>
        <w:rPr>
          <w:rFonts w:cs="Arial" w:ascii="Verdana" w:hAnsi="Verdana"/>
          <w:b/>
          <w:color w:val="auto"/>
          <w:sz w:val="20"/>
          <w:szCs w:val="20"/>
          <w:lang w:val="pt-BR"/>
        </w:rPr>
        <w:t>7.</w:t>
      </w:r>
      <w:r>
        <w:rPr>
          <w:rFonts w:cs="Arial" w:ascii="Verdana" w:hAnsi="Verdana"/>
          <w:color w:val="auto"/>
          <w:sz w:val="20"/>
          <w:szCs w:val="20"/>
        </w:rPr>
        <w:t xml:space="preserve"> O recebimento provisório do material não implica aceitação dos mesmos;</w:t>
      </w:r>
    </w:p>
    <w:p>
      <w:pPr>
        <w:pStyle w:val="Normal"/>
        <w:spacing w:lineRule="auto" w:line="276" w:before="57" w:after="57"/>
        <w:ind w:hanging="0" w:left="0" w:right="0"/>
        <w:jc w:val="both"/>
        <w:rPr>
          <w:rFonts w:ascii="Verdana" w:hAnsi="Verdana"/>
          <w:sz w:val="20"/>
          <w:szCs w:val="20"/>
        </w:rPr>
      </w:pPr>
      <w:r>
        <w:rPr>
          <w:rFonts w:cs="Arial" w:ascii="Verdana" w:hAnsi="Verdana"/>
          <w:b/>
          <w:bCs w:val="false"/>
          <w:i w:val="false"/>
          <w:iCs w:val="false"/>
          <w:color w:val="auto"/>
          <w:sz w:val="20"/>
          <w:szCs w:val="20"/>
          <w:lang w:val="pt-BR"/>
        </w:rPr>
        <w:t>6</w:t>
      </w:r>
      <w:r>
        <w:rPr>
          <w:rFonts w:cs="Arial" w:ascii="Verdana" w:hAnsi="Verdana"/>
          <w:b/>
          <w:bCs w:val="false"/>
          <w:i w:val="false"/>
          <w:iCs w:val="false"/>
          <w:color w:val="auto"/>
          <w:sz w:val="20"/>
          <w:szCs w:val="20"/>
        </w:rPr>
        <w:t>.</w:t>
      </w:r>
      <w:r>
        <w:rPr>
          <w:rFonts w:cs="Arial" w:ascii="Verdana" w:hAnsi="Verdana"/>
          <w:b/>
          <w:bCs w:val="false"/>
          <w:i w:val="false"/>
          <w:iCs w:val="false"/>
          <w:color w:val="auto"/>
          <w:sz w:val="20"/>
          <w:szCs w:val="20"/>
          <w:lang w:val="pt-BR"/>
        </w:rPr>
        <w:t xml:space="preserve">8. </w:t>
      </w:r>
      <w:r>
        <w:rPr>
          <w:rFonts w:cs="Arial" w:ascii="Verdana" w:hAnsi="Verdana"/>
          <w:b w:val="false"/>
          <w:bCs w:val="false"/>
          <w:i w:val="false"/>
          <w:iCs w:val="false"/>
          <w:color w:val="auto"/>
          <w:sz w:val="20"/>
          <w:szCs w:val="20"/>
        </w:rPr>
        <w:t>Havendo erro na Nota Fiscal ou outra circunstância impeditiva, o recebimento definitivo será suspenso, até que a empresa tome as medidas saneadoras necessárias;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6.9.</w:t>
      </w:r>
      <w:r>
        <w:rPr>
          <w:rFonts w:cs="Arial" w:ascii="Verdana" w:hAnsi="Verdana"/>
          <w:b w:val="false"/>
          <w:bCs w:val="false"/>
          <w:i w:val="false"/>
          <w:iCs w:val="false"/>
          <w:color w:val="000000"/>
          <w:sz w:val="20"/>
          <w:szCs w:val="20"/>
          <w:shd w:fill="auto" w:val="clear"/>
        </w:rPr>
        <w:t xml:space="preserve"> Todo material solicitado deve vir devidamente identificados contendo: Garantia do produto, nome empresa Fabricante do produto, Registro na ANVISA/MS e nome do responsável técnico pela esterilização do produto.</w:t>
      </w:r>
    </w:p>
    <w:p>
      <w:pPr>
        <w:pStyle w:val="Normal"/>
        <w:spacing w:lineRule="auto" w:line="276" w:before="57" w:after="57"/>
        <w:ind w:right="0"/>
        <w:jc w:val="both"/>
        <w:rPr>
          <w:rFonts w:ascii="Verdana" w:hAnsi="Verdana"/>
          <w:sz w:val="20"/>
          <w:szCs w:val="20"/>
        </w:rPr>
      </w:pPr>
      <w:r>
        <w:rPr>
          <w:rFonts w:cs="Arial" w:ascii="Verdana" w:hAnsi="Verdana"/>
          <w:b/>
          <w:color w:val="auto"/>
          <w:sz w:val="20"/>
          <w:szCs w:val="20"/>
          <w:lang w:val="pt-BR"/>
        </w:rPr>
        <w:t>-</w:t>
      </w:r>
      <w:r>
        <w:rPr>
          <w:rFonts w:cs="Arial" w:ascii="Verdana" w:hAnsi="Verdana"/>
          <w:b/>
          <w:color w:val="auto"/>
          <w:sz w:val="20"/>
          <w:szCs w:val="20"/>
        </w:rPr>
        <w:t xml:space="preserve"> CONTATO</w:t>
      </w:r>
    </w:p>
    <w:p>
      <w:pPr>
        <w:pStyle w:val="Normal"/>
        <w:spacing w:lineRule="auto" w:line="276" w:before="57" w:after="57"/>
        <w:ind w:right="0"/>
        <w:jc w:val="both"/>
        <w:rPr>
          <w:rFonts w:ascii="Verdana" w:hAnsi="Verdana"/>
          <w:sz w:val="20"/>
          <w:szCs w:val="20"/>
        </w:rPr>
      </w:pPr>
      <w:r>
        <w:rPr>
          <w:rFonts w:cs="Arial" w:ascii="Verdana" w:hAnsi="Verdana"/>
          <w:b/>
          <w:color w:val="auto"/>
          <w:sz w:val="20"/>
          <w:szCs w:val="20"/>
        </w:rPr>
        <w:t xml:space="preserve">Tel: </w:t>
      </w:r>
      <w:r>
        <w:rPr>
          <w:rFonts w:cs="Arial" w:ascii="Verdana" w:hAnsi="Verdana"/>
          <w:color w:val="auto"/>
          <w:sz w:val="20"/>
          <w:szCs w:val="20"/>
        </w:rPr>
        <w:t>27 9 9740 8895</w:t>
      </w:r>
    </w:p>
    <w:p>
      <w:pPr>
        <w:pStyle w:val="Normal"/>
        <w:spacing w:lineRule="auto" w:line="276" w:before="57" w:after="57"/>
        <w:ind w:right="0"/>
        <w:jc w:val="both"/>
        <w:rPr>
          <w:rFonts w:ascii="Verdana" w:hAnsi="Verdana"/>
          <w:sz w:val="20"/>
          <w:szCs w:val="20"/>
        </w:rPr>
      </w:pPr>
      <w:r>
        <w:rPr>
          <w:rFonts w:cs="Arial" w:ascii="Verdana" w:hAnsi="Verdana"/>
          <w:b/>
          <w:color w:val="auto"/>
          <w:sz w:val="20"/>
          <w:szCs w:val="20"/>
        </w:rPr>
        <w:t xml:space="preserve">Email: </w:t>
      </w:r>
      <w:r>
        <w:rPr>
          <w:rFonts w:cs="Arial" w:ascii="Verdana" w:hAnsi="Verdana"/>
          <w:b w:val="false"/>
          <w:bCs w:val="false"/>
          <w:color w:val="auto"/>
          <w:sz w:val="20"/>
          <w:szCs w:val="20"/>
          <w:lang w:val="pt-BR"/>
        </w:rPr>
        <w:t>setorcomprassgp</w:t>
      </w:r>
      <w:r>
        <w:rPr>
          <w:rFonts w:cs="Arial" w:ascii="Verdana" w:hAnsi="Verdana"/>
          <w:color w:val="auto"/>
          <w:sz w:val="20"/>
          <w:szCs w:val="20"/>
        </w:rPr>
        <w:t>@gmail.com</w:t>
      </w:r>
    </w:p>
    <w:p>
      <w:pPr>
        <w:pStyle w:val="Normal"/>
        <w:spacing w:lineRule="auto" w:line="276" w:before="57" w:after="57"/>
        <w:ind w:hanging="0" w:left="0" w:right="0"/>
        <w:jc w:val="both"/>
        <w:rPr>
          <w:rFonts w:ascii="Verdana" w:hAnsi="Verdana"/>
          <w:sz w:val="20"/>
          <w:szCs w:val="20"/>
        </w:rPr>
      </w:pPr>
      <w:r>
        <w:rPr>
          <w:rFonts w:cs="Arial" w:ascii="Verdana" w:hAnsi="Verdana"/>
          <w:b/>
          <w:bCs w:val="false"/>
          <w:i w:val="false"/>
          <w:iCs w:val="false"/>
          <w:color w:val="auto"/>
          <w:sz w:val="20"/>
          <w:szCs w:val="20"/>
        </w:rPr>
        <w:t xml:space="preserve">Responsável: </w:t>
      </w:r>
      <w:r>
        <w:rPr>
          <w:rFonts w:cs="Arial" w:ascii="Verdana" w:hAnsi="Verdana"/>
          <w:b w:val="false"/>
          <w:bCs w:val="false"/>
          <w:i w:val="false"/>
          <w:iCs w:val="false"/>
          <w:color w:val="auto"/>
          <w:sz w:val="20"/>
          <w:szCs w:val="20"/>
        </w:rPr>
        <w:t>Secretaria Municipal de Saúde</w:t>
      </w:r>
    </w:p>
    <w:p>
      <w:pPr>
        <w:pStyle w:val="Normal"/>
        <w:spacing w:lineRule="auto" w:line="276" w:before="57" w:after="57"/>
        <w:ind w:hanging="0" w:left="0" w:right="0"/>
        <w:jc w:val="both"/>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b/>
          <w:bCs/>
          <w:i w:val="false"/>
          <w:iCs w:val="false"/>
          <w:color w:val="auto"/>
          <w:sz w:val="20"/>
          <w:szCs w:val="20"/>
        </w:rPr>
        <w:t>7. OBRIGAÇÕES DA CONTRATANTE</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7.1.</w:t>
      </w:r>
      <w:r>
        <w:rPr>
          <w:rFonts w:cs="Arial" w:ascii="Verdana" w:hAnsi="Verdana"/>
          <w:b w:val="false"/>
          <w:bCs w:val="false"/>
          <w:i w:val="false"/>
          <w:iCs w:val="false"/>
          <w:color w:val="auto"/>
          <w:sz w:val="20"/>
          <w:szCs w:val="20"/>
        </w:rPr>
        <w:t xml:space="preserve"> Receber os materiais no prazo e condições estabelecidas neste Termo de Referência e seus anexos.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 xml:space="preserve">7.2. </w:t>
      </w:r>
      <w:bookmarkStart w:id="4" w:name="page68R_mcid7"/>
      <w:r>
        <w:rPr>
          <w:rFonts w:cs="Arial" w:ascii="Verdana" w:hAnsi="Verdana"/>
          <w:b w:val="false"/>
          <w:bCs w:val="false"/>
          <w:i w:val="false"/>
          <w:iCs w:val="false"/>
          <w:color w:val="auto"/>
          <w:sz w:val="20"/>
          <w:szCs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7.3. Comunicar à Contratada, por escrito, sobre imperfeições, falhas ou irregularidades verificadas no objeto fornecido, para que seja substituído, reparado ou corrigido.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 xml:space="preserve">7.4. Acompanhar e fiscalizar o cumprimento das obrigações da Contratada, através </w:t>
      </w:r>
      <w:r>
        <w:rPr>
          <w:rFonts w:cs="Arial" w:ascii="Verdana" w:hAnsi="Verdana"/>
          <w:b w:val="false"/>
          <w:bCs w:val="false"/>
          <w:i w:val="false"/>
          <w:iCs w:val="false"/>
          <w:color w:val="auto"/>
          <w:sz w:val="20"/>
          <w:szCs w:val="20"/>
          <w:u w:val="none"/>
        </w:rPr>
        <w:t>do setor responsável.</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7.5. Efetuar o pagamento à Contratada no valor correspondente ao fornecimento das compressas de gaze no prazo e forma estabelecidos neste TR e seus anexos.</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 xml:space="preserve">7.6. </w:t>
      </w:r>
      <w:r>
        <w:rPr>
          <w:rFonts w:cs="Arial" w:ascii="Verdana" w:hAnsi="Verdana"/>
          <w:b w:val="false"/>
          <w:bCs w:val="false"/>
          <w:i w:val="false"/>
          <w:iCs w:val="false"/>
          <w:color w:val="auto"/>
          <w:sz w:val="20"/>
          <w:szCs w:val="20"/>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auto"/>
          <w:sz w:val="20"/>
          <w:szCs w:val="20"/>
        </w:rPr>
        <w:t>Ata de Registro de Preços</w:t>
      </w:r>
      <w:r>
        <w:rPr>
          <w:rFonts w:cs="Arial" w:ascii="Verdana" w:hAnsi="Verdana"/>
          <w:b w:val="false"/>
          <w:bCs w:val="false"/>
          <w:i w:val="false"/>
          <w:iCs w:val="false"/>
          <w:color w:val="auto"/>
          <w:sz w:val="20"/>
          <w:szCs w:val="20"/>
        </w:rPr>
        <w:t>, bem como por qualquer dano causado a terceiros em decorrência de ato da Contratada, de seus empregados, prepostos ou subordinados.</w:t>
      </w:r>
    </w:p>
    <w:p>
      <w:pPr>
        <w:pStyle w:val="Normal"/>
        <w:spacing w:lineRule="auto" w:line="276" w:before="57" w:after="57"/>
        <w:ind w:hanging="0" w:left="0" w:right="0"/>
        <w:jc w:val="both"/>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b/>
          <w:bCs/>
          <w:i w:val="false"/>
          <w:iCs w:val="false"/>
          <w:color w:val="auto"/>
          <w:sz w:val="20"/>
          <w:szCs w:val="20"/>
        </w:rPr>
        <w:t>8. OBRIGAÇÕES DA CONTRATADA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8.2. Efetuar a entrega das compressas de gaze em perfeitas condições, conforme especificações, prazo e local constantes no Termo de Referência e seus anexos, acompanhado da respectiva nota fiscal, na qual constarão as indicações referentes a: marca, fabricante, modelo, procedência e prazo de validade. Registro na ANVISA, nome do responsável técnico pela esterilização do produto.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8.3. Responsabilizar-se pelos vícios e danos decorrentes do objeto, de acordo com os artigos 12, 13 e 17 a 27, do Código de Defesa do Consumidor (Lei nº 8.078, de 1990).</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8.4. Substituir, reparar ou corrigir, às suas expensas, no prazo fixado neste Termo de Referência, o objeto com avarias ou defeitos.</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 xml:space="preserve">8.5. </w:t>
      </w:r>
      <w:r>
        <w:rPr>
          <w:rFonts w:cs="Arial" w:ascii="Verdana" w:hAnsi="Verdana"/>
          <w:b w:val="false"/>
          <w:bCs w:val="false"/>
          <w:i w:val="false"/>
          <w:iCs w:val="false"/>
          <w:color w:val="auto"/>
          <w:sz w:val="20"/>
          <w:szCs w:val="20"/>
        </w:rPr>
        <w:t>Comunicar à Contratante, no prazo máximo de 05 (cinco) dias que antecede a data da entrega, os motivos que impossibilitem o cumprimento do prazo previsto, com a devida comprovação.</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 xml:space="preserve">8.6. </w:t>
      </w:r>
      <w:r>
        <w:rPr>
          <w:rFonts w:cs="Arial" w:ascii="Verdana" w:hAnsi="Verdana"/>
          <w:b w:val="false"/>
          <w:bCs w:val="false"/>
          <w:i w:val="false"/>
          <w:iCs w:val="false"/>
          <w:color w:val="auto"/>
          <w:sz w:val="20"/>
          <w:szCs w:val="20"/>
        </w:rPr>
        <w:t>Manter, durante toda a execução d</w:t>
      </w:r>
      <w:r>
        <w:rPr>
          <w:rFonts w:eastAsia="Times New Roman" w:cs="Arial" w:ascii="Verdana" w:hAnsi="Verdana"/>
          <w:b w:val="false"/>
          <w:bCs w:val="false"/>
          <w:i w:val="false"/>
          <w:iCs w:val="false"/>
          <w:color w:val="auto"/>
          <w:sz w:val="20"/>
          <w:szCs w:val="20"/>
        </w:rPr>
        <w:t>a ata de registro de preços</w:t>
      </w:r>
      <w:r>
        <w:rPr>
          <w:rFonts w:cs="Arial" w:ascii="Verdana" w:hAnsi="Verdana"/>
          <w:b w:val="false"/>
          <w:bCs w:val="false"/>
          <w:i w:val="false"/>
          <w:iCs w:val="false"/>
          <w:color w:val="auto"/>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 xml:space="preserve">8.7. </w:t>
      </w:r>
      <w:r>
        <w:rPr>
          <w:rFonts w:cs="Arial" w:ascii="Verdana" w:hAnsi="Verdana"/>
          <w:b w:val="false"/>
          <w:bCs w:val="false"/>
          <w:i w:val="false"/>
          <w:iCs w:val="false"/>
          <w:color w:val="auto"/>
          <w:sz w:val="20"/>
          <w:szCs w:val="20"/>
        </w:rPr>
        <w:t>Indicar preposto para representá-la durante a execução Da ata de registro de preços.</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 xml:space="preserve">8.8. </w:t>
      </w:r>
      <w:r>
        <w:rPr>
          <w:rFonts w:cs="Arial" w:ascii="Verdana" w:hAnsi="Verdana"/>
          <w:b w:val="false"/>
          <w:bCs w:val="false"/>
          <w:i w:val="false"/>
          <w:iCs w:val="false"/>
          <w:color w:val="auto"/>
          <w:sz w:val="20"/>
          <w:szCs w:val="20"/>
        </w:rPr>
        <w:t xml:space="preserve">A </w:t>
      </w:r>
      <w:r>
        <w:rPr>
          <w:rFonts w:eastAsia="Times New Roman" w:cs="Arial" w:ascii="Verdana" w:hAnsi="Verdana"/>
          <w:b w:val="false"/>
          <w:bCs w:val="false"/>
          <w:i w:val="false"/>
          <w:iCs w:val="false"/>
          <w:color w:val="auto"/>
          <w:sz w:val="20"/>
          <w:szCs w:val="20"/>
        </w:rPr>
        <w:t>contratada</w:t>
      </w:r>
      <w:r>
        <w:rPr>
          <w:rFonts w:cs="Arial" w:ascii="Verdana" w:hAnsi="Verdana"/>
          <w:b w:val="false"/>
          <w:bCs w:val="false"/>
          <w:i w:val="false"/>
          <w:iCs w:val="false"/>
          <w:color w:val="auto"/>
          <w:sz w:val="20"/>
          <w:szCs w:val="2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 xml:space="preserve">8.9.Durante a execução da ata de registro de preços, a </w:t>
      </w:r>
      <w:r>
        <w:rPr>
          <w:rFonts w:eastAsia="Times New Roman" w:cs="Arial" w:ascii="Verdana" w:hAnsi="Verdana"/>
          <w:b w:val="false"/>
          <w:bCs w:val="false"/>
          <w:i w:val="false"/>
          <w:iCs w:val="false"/>
          <w:color w:val="auto"/>
          <w:sz w:val="20"/>
          <w:szCs w:val="20"/>
        </w:rPr>
        <w:t>contratada</w:t>
      </w:r>
      <w:r>
        <w:rPr>
          <w:rFonts w:cs="Arial" w:ascii="Verdana" w:hAnsi="Verdana"/>
          <w:b w:val="false"/>
          <w:bCs w:val="false"/>
          <w:i w:val="false"/>
          <w:iCs w:val="false"/>
          <w:color w:val="auto"/>
          <w:sz w:val="20"/>
          <w:szCs w:val="20"/>
        </w:rPr>
        <w:t xml:space="preserve"> deverá:</w:t>
      </w:r>
      <w:r>
        <w:rPr>
          <w:rFonts w:ascii="Verdana" w:hAnsi="Verdana"/>
          <w:color w:val="auto"/>
          <w:sz w:val="20"/>
          <w:szCs w:val="20"/>
        </w:rPr>
        <w:br/>
      </w:r>
      <w:r>
        <w:rPr>
          <w:rFonts w:eastAsia="Times New Roman" w:cs="Arial" w:ascii="Verdana" w:hAnsi="Verdana"/>
          <w:b w:val="false"/>
          <w:bCs w:val="false"/>
          <w:i w:val="false"/>
          <w:iCs w:val="false"/>
          <w:color w:val="auto"/>
          <w:sz w:val="20"/>
          <w:szCs w:val="20"/>
        </w:rPr>
        <w:t>8.9.1.</w:t>
      </w:r>
      <w:r>
        <w:rPr>
          <w:rFonts w:cs="Arial" w:ascii="Verdana" w:hAnsi="Verdana"/>
          <w:b w:val="false"/>
          <w:bCs w:val="false"/>
          <w:i w:val="false"/>
          <w:iCs w:val="false"/>
          <w:color w:val="auto"/>
          <w:sz w:val="20"/>
          <w:szCs w:val="20"/>
        </w:rPr>
        <w:t xml:space="preserve"> Atender prontamente às solicitações </w:t>
      </w:r>
      <w:r>
        <w:rPr>
          <w:rFonts w:eastAsia="Times New Roman" w:cs="Arial" w:ascii="Verdana" w:hAnsi="Verdana"/>
          <w:b w:val="false"/>
          <w:bCs w:val="false"/>
          <w:i w:val="false"/>
          <w:iCs w:val="false"/>
          <w:color w:val="auto"/>
          <w:sz w:val="20"/>
          <w:szCs w:val="20"/>
        </w:rPr>
        <w:t xml:space="preserve">da secretaria </w:t>
      </w:r>
      <w:r>
        <w:rPr>
          <w:rFonts w:cs="Arial" w:ascii="Verdana" w:hAnsi="Verdana"/>
          <w:b w:val="false"/>
          <w:bCs w:val="false"/>
          <w:i w:val="false"/>
          <w:iCs w:val="false"/>
          <w:color w:val="auto"/>
          <w:sz w:val="20"/>
          <w:szCs w:val="20"/>
        </w:rPr>
        <w:t xml:space="preserve">no fornecimento </w:t>
      </w:r>
      <w:r>
        <w:rPr>
          <w:rFonts w:eastAsia="Times New Roman" w:cs="Arial" w:ascii="Verdana" w:hAnsi="Verdana"/>
          <w:b w:val="false"/>
          <w:bCs w:val="false"/>
          <w:i w:val="false"/>
          <w:iCs w:val="false"/>
          <w:color w:val="auto"/>
          <w:sz w:val="20"/>
          <w:szCs w:val="20"/>
        </w:rPr>
        <w:t>das compressas de gazes</w:t>
      </w:r>
      <w:r>
        <w:rPr>
          <w:rFonts w:cs="Arial" w:ascii="Verdana" w:hAnsi="Verdana"/>
          <w:b w:val="false"/>
          <w:bCs w:val="false"/>
          <w:i w:val="false"/>
          <w:iCs w:val="false"/>
          <w:color w:val="auto"/>
          <w:sz w:val="20"/>
          <w:szCs w:val="20"/>
        </w:rPr>
        <w:t xml:space="preserve"> nas quantidades e especificações deste </w:t>
      </w:r>
      <w:r>
        <w:rPr>
          <w:rFonts w:eastAsia="Times New Roman" w:cs="Arial" w:ascii="Verdana" w:hAnsi="Verdana"/>
          <w:b w:val="false"/>
          <w:bCs w:val="false"/>
          <w:i w:val="false"/>
          <w:iCs w:val="false"/>
          <w:color w:val="auto"/>
          <w:sz w:val="20"/>
          <w:szCs w:val="20"/>
        </w:rPr>
        <w:t>termo de referência.</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8.9.</w:t>
      </w:r>
      <w:r>
        <w:rPr>
          <w:rFonts w:cs="Arial" w:ascii="Verdana" w:hAnsi="Verdana"/>
          <w:b w:val="false"/>
          <w:bCs w:val="false"/>
          <w:i w:val="false"/>
          <w:iCs w:val="false"/>
          <w:color w:val="auto"/>
          <w:sz w:val="20"/>
          <w:szCs w:val="20"/>
        </w:rPr>
        <w:t>2. Entregar os materiais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auto"/>
          <w:sz w:val="20"/>
          <w:szCs w:val="20"/>
        </w:rPr>
        <w:t xml:space="preserve">8.9.3. </w:t>
      </w:r>
      <w:r>
        <w:rPr>
          <w:rFonts w:cs="Arial" w:ascii="Verdana" w:hAnsi="Verdana"/>
          <w:b w:val="false"/>
          <w:bCs w:val="false"/>
          <w:i w:val="false"/>
          <w:iCs w:val="false"/>
          <w:color w:val="auto"/>
          <w:sz w:val="20"/>
          <w:szCs w:val="20"/>
        </w:rPr>
        <w:t>A nota fiscal deverá ser acompanhada pelas Certidões de Regularidades Fiscais.</w:t>
      </w:r>
      <w:r>
        <w:rPr>
          <w:rFonts w:ascii="Verdana" w:hAnsi="Verdana"/>
          <w:color w:val="auto"/>
          <w:sz w:val="20"/>
          <w:szCs w:val="20"/>
        </w:rPr>
        <w:br/>
      </w:r>
      <w:r>
        <w:rPr>
          <w:rFonts w:eastAsia="Times New Roman" w:cs="Arial" w:ascii="Verdana" w:hAnsi="Verdana"/>
          <w:b w:val="false"/>
          <w:bCs w:val="false"/>
          <w:i w:val="false"/>
          <w:iCs w:val="false"/>
          <w:color w:val="auto"/>
          <w:sz w:val="20"/>
          <w:szCs w:val="20"/>
        </w:rPr>
        <w:t xml:space="preserve">8.9.4. </w:t>
      </w:r>
      <w:bookmarkStart w:id="6" w:name="_GoBack1111"/>
      <w:r>
        <w:rPr>
          <w:rFonts w:cs="Arial" w:ascii="Verdana" w:hAnsi="Verdana"/>
          <w:b w:val="false"/>
          <w:bCs w:val="false"/>
          <w:i w:val="false"/>
          <w:iCs w:val="false"/>
          <w:color w:val="auto"/>
          <w:sz w:val="20"/>
          <w:szCs w:val="2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76" w:before="57" w:after="57"/>
        <w:ind w:hanging="0" w:left="0" w:right="0"/>
        <w:jc w:val="both"/>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b/>
          <w:bCs/>
          <w:i w:val="false"/>
          <w:iCs w:val="false"/>
          <w:color w:val="auto"/>
          <w:sz w:val="20"/>
          <w:szCs w:val="20"/>
        </w:rPr>
        <w:t>9. DO CONTROLE E FISCALIZAÇÃO DA EXECUÇÃO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9.1. A fiscalização será realizado pelo Almoxarifado da Secretaria Municipal de Saúde para acompanhar e fiscalizar a entrega dos materiais, anotando em registro próprio todas as ocorrências relacionadas com a execução e determinando o que for necessário à regularização de falhas ou defeitos observados.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auto"/>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76" w:before="57" w:after="57"/>
        <w:ind w:hanging="0" w:left="0" w:right="0"/>
        <w:jc w:val="both"/>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hanging="0" w:left="0" w:right="0"/>
        <w:jc w:val="both"/>
        <w:rPr>
          <w:rFonts w:ascii="Verdana" w:hAnsi="Verdana"/>
          <w:sz w:val="20"/>
          <w:szCs w:val="20"/>
        </w:rPr>
      </w:pPr>
      <w:r>
        <w:rPr>
          <w:rFonts w:ascii="Verdana" w:hAnsi="Verdana"/>
          <w:b/>
          <w:bCs/>
          <w:color w:val="auto"/>
          <w:sz w:val="20"/>
          <w:szCs w:val="20"/>
        </w:rPr>
        <w:t>10. CRITÉRIOS DE PAGAMENTO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color w:val="auto"/>
          <w:sz w:val="20"/>
          <w:szCs w:val="20"/>
          <w:lang w:eastAsia="en-US"/>
        </w:rPr>
        <w:t xml:space="preserve">10.1. Recebida a Nota Fiscal ou documento de cobrança equivalente, correrá o prazo de </w:t>
      </w:r>
      <w:r>
        <w:rPr>
          <w:rFonts w:eastAsia="Times New Roman" w:cs="Times New Roman" w:ascii="Verdana" w:hAnsi="Verdana"/>
          <w:b w:val="false"/>
          <w:bCs w:val="false"/>
          <w:color w:val="auto"/>
          <w:sz w:val="20"/>
          <w:szCs w:val="20"/>
          <w:lang w:eastAsia="en-US"/>
        </w:rPr>
        <w:t>(30) trinta</w:t>
      </w:r>
      <w:r>
        <w:rPr>
          <w:rFonts w:ascii="Verdana" w:hAnsi="Verdana"/>
          <w:b w:val="false"/>
          <w:bCs w:val="false"/>
          <w:color w:val="auto"/>
          <w:sz w:val="20"/>
          <w:szCs w:val="20"/>
          <w:lang w:eastAsia="en-US"/>
        </w:rPr>
        <w:t xml:space="preserve"> dias úteis para fins de liquidação, na forma desta seção, prorrogáveis por igual período.</w:t>
      </w:r>
    </w:p>
    <w:p>
      <w:pPr>
        <w:pStyle w:val="Normal"/>
        <w:spacing w:lineRule="auto" w:line="276" w:before="57" w:after="57"/>
        <w:ind w:hanging="0" w:left="0" w:right="0"/>
        <w:jc w:val="both"/>
        <w:rPr/>
      </w:pPr>
      <w:r>
        <w:rPr>
          <w:rFonts w:ascii="Verdana" w:hAnsi="Verdana"/>
          <w:b w:val="false"/>
          <w:bCs w:val="false"/>
          <w:color w:val="auto"/>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
          <w:sz w:val="20"/>
          <w:u w:val="none"/>
          <w:b w:val="false"/>
          <w:szCs w:val="20"/>
          <w:bCs w:val="false"/>
          <w:rFonts w:ascii="Verdana" w:hAnsi="Verdana"/>
          <w:color w:val="auto"/>
        </w:rPr>
        <w:instrText xml:space="preserve"> HYPERLINK "http://www.planalto.gov.br/ccivil_03/_ato2019-2022/2021/lei/L14133.htm" \l "art75"</w:instrText>
      </w:r>
      <w:r>
        <w:rPr>
          <w:rStyle w:val="ListLabel19"/>
          <w:sz w:val="20"/>
          <w:u w:val="none"/>
          <w:b w:val="false"/>
          <w:szCs w:val="20"/>
          <w:bCs w:val="false"/>
          <w:rFonts w:ascii="Verdana" w:hAnsi="Verdana"/>
          <w:color w:val="auto"/>
        </w:rPr>
        <w:fldChar w:fldCharType="separate"/>
      </w:r>
      <w:r>
        <w:rPr>
          <w:rStyle w:val="ListLabel19"/>
          <w:rFonts w:ascii="Verdana" w:hAnsi="Verdana"/>
          <w:b w:val="false"/>
          <w:bCs w:val="false"/>
          <w:color w:val="auto"/>
          <w:sz w:val="20"/>
          <w:szCs w:val="20"/>
          <w:u w:val="none"/>
        </w:rPr>
        <w:t>inciso II do art. 75 da Lei nº 14.133, de 2021</w:t>
      </w:r>
      <w:r>
        <w:rPr>
          <w:rStyle w:val="ListLabel19"/>
          <w:sz w:val="20"/>
          <w:u w:val="none"/>
          <w:b w:val="false"/>
          <w:szCs w:val="20"/>
          <w:bCs w:val="false"/>
          <w:rFonts w:ascii="Verdana" w:hAnsi="Verdana"/>
          <w:color w:val="auto"/>
        </w:rPr>
        <w:fldChar w:fldCharType="end"/>
      </w:r>
      <w:r>
        <w:rPr>
          <w:rFonts w:ascii="Verdana" w:hAnsi="Verdana"/>
          <w:b w:val="false"/>
          <w:bCs w:val="false"/>
          <w:color w:val="auto"/>
          <w:sz w:val="20"/>
          <w:szCs w:val="20"/>
          <w:u w:val="none"/>
        </w:rPr>
        <w:t>.</w:t>
      </w:r>
    </w:p>
    <w:p>
      <w:pPr>
        <w:pStyle w:val="Normal"/>
        <w:spacing w:lineRule="auto" w:line="276" w:before="57" w:after="57"/>
        <w:ind w:hanging="0" w:left="0" w:right="0"/>
        <w:jc w:val="both"/>
        <w:rPr>
          <w:rFonts w:ascii="Verdana" w:hAnsi="Verdana"/>
          <w:sz w:val="20"/>
          <w:szCs w:val="20"/>
        </w:rPr>
      </w:pPr>
      <w:r>
        <w:rPr>
          <w:rFonts w:ascii="Verdana" w:hAnsi="Verdana"/>
          <w:b w:val="false"/>
          <w:bCs w:val="false"/>
          <w:color w:val="auto"/>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widowControl/>
        <w:numPr>
          <w:ilvl w:val="0"/>
          <w:numId w:val="1"/>
        </w:numPr>
        <w:tabs>
          <w:tab w:val="clear" w:pos="708"/>
          <w:tab w:val="left" w:pos="960" w:leader="none"/>
        </w:tabs>
        <w:suppressAutoHyphens w:val="true"/>
        <w:bidi w:val="0"/>
        <w:spacing w:lineRule="auto" w:line="276" w:before="57" w:after="57"/>
        <w:ind w:hanging="0" w:left="567" w:right="0"/>
        <w:jc w:val="both"/>
        <w:rPr/>
      </w:pPr>
      <w:r>
        <w:rPr>
          <w:rFonts w:ascii="Verdana" w:hAnsi="Verdana"/>
          <w:b w:val="false"/>
          <w:bCs w:val="false"/>
          <w:color w:val="auto"/>
          <w:sz w:val="20"/>
          <w:szCs w:val="20"/>
        </w:rPr>
        <w:t>O prazo de validade;</w:t>
      </w:r>
    </w:p>
    <w:p>
      <w:pPr>
        <w:pStyle w:val="Normal"/>
        <w:widowControl/>
        <w:numPr>
          <w:ilvl w:val="0"/>
          <w:numId w:val="1"/>
        </w:numPr>
        <w:tabs>
          <w:tab w:val="clear" w:pos="708"/>
          <w:tab w:val="left" w:pos="960" w:leader="none"/>
        </w:tabs>
        <w:suppressAutoHyphens w:val="true"/>
        <w:bidi w:val="0"/>
        <w:spacing w:lineRule="auto" w:line="276" w:before="57" w:after="57"/>
        <w:ind w:hanging="0" w:left="567" w:right="0"/>
        <w:jc w:val="both"/>
        <w:rPr/>
      </w:pPr>
      <w:r>
        <w:rPr>
          <w:rFonts w:ascii="Verdana" w:hAnsi="Verdana"/>
          <w:b w:val="false"/>
          <w:bCs w:val="false"/>
          <w:color w:val="auto"/>
          <w:sz w:val="20"/>
          <w:szCs w:val="20"/>
        </w:rPr>
        <w:t xml:space="preserve">A data da emissão; </w:t>
      </w:r>
    </w:p>
    <w:p>
      <w:pPr>
        <w:pStyle w:val="Normal"/>
        <w:widowControl/>
        <w:numPr>
          <w:ilvl w:val="0"/>
          <w:numId w:val="1"/>
        </w:numPr>
        <w:tabs>
          <w:tab w:val="clear" w:pos="708"/>
          <w:tab w:val="left" w:pos="960" w:leader="none"/>
        </w:tabs>
        <w:suppressAutoHyphens w:val="true"/>
        <w:bidi w:val="0"/>
        <w:spacing w:lineRule="auto" w:line="276" w:before="57" w:after="57"/>
        <w:ind w:hanging="0" w:left="567" w:right="0"/>
        <w:jc w:val="both"/>
        <w:rPr/>
      </w:pPr>
      <w:r>
        <w:rPr>
          <w:rFonts w:ascii="Verdana" w:hAnsi="Verdana"/>
          <w:b w:val="false"/>
          <w:bCs w:val="false"/>
          <w:color w:val="auto"/>
          <w:sz w:val="20"/>
          <w:szCs w:val="20"/>
        </w:rPr>
        <w:t xml:space="preserve">Os dados do contrato e do órgão contratante; </w:t>
      </w:r>
    </w:p>
    <w:p>
      <w:pPr>
        <w:pStyle w:val="Normal"/>
        <w:widowControl/>
        <w:numPr>
          <w:ilvl w:val="0"/>
          <w:numId w:val="1"/>
        </w:numPr>
        <w:tabs>
          <w:tab w:val="clear" w:pos="708"/>
          <w:tab w:val="left" w:pos="960" w:leader="none"/>
        </w:tabs>
        <w:suppressAutoHyphens w:val="true"/>
        <w:bidi w:val="0"/>
        <w:spacing w:lineRule="auto" w:line="276" w:before="57" w:after="57"/>
        <w:ind w:hanging="0" w:left="567" w:right="0"/>
        <w:jc w:val="both"/>
        <w:rPr/>
      </w:pPr>
      <w:r>
        <w:rPr>
          <w:rFonts w:ascii="Verdana" w:hAnsi="Verdana"/>
          <w:b w:val="false"/>
          <w:bCs w:val="false"/>
          <w:color w:val="auto"/>
          <w:sz w:val="20"/>
          <w:szCs w:val="20"/>
        </w:rPr>
        <w:t xml:space="preserve">O período respectivo de execução do contrato; </w:t>
      </w:r>
    </w:p>
    <w:p>
      <w:pPr>
        <w:pStyle w:val="Normal"/>
        <w:widowControl/>
        <w:numPr>
          <w:ilvl w:val="0"/>
          <w:numId w:val="1"/>
        </w:numPr>
        <w:tabs>
          <w:tab w:val="clear" w:pos="708"/>
          <w:tab w:val="left" w:pos="960" w:leader="none"/>
        </w:tabs>
        <w:suppressAutoHyphens w:val="true"/>
        <w:bidi w:val="0"/>
        <w:spacing w:lineRule="auto" w:line="276" w:before="57" w:after="57"/>
        <w:ind w:hanging="0" w:left="567" w:right="0"/>
        <w:jc w:val="both"/>
        <w:rPr/>
      </w:pPr>
      <w:r>
        <w:rPr>
          <w:rFonts w:ascii="Verdana" w:hAnsi="Verdana"/>
          <w:b w:val="false"/>
          <w:bCs w:val="false"/>
          <w:color w:val="auto"/>
          <w:sz w:val="20"/>
          <w:szCs w:val="20"/>
        </w:rPr>
        <w:t xml:space="preserve">O valor a pagar; e </w:t>
      </w:r>
    </w:p>
    <w:p>
      <w:pPr>
        <w:pStyle w:val="Normal"/>
        <w:widowControl/>
        <w:numPr>
          <w:ilvl w:val="0"/>
          <w:numId w:val="1"/>
        </w:numPr>
        <w:tabs>
          <w:tab w:val="clear" w:pos="708"/>
          <w:tab w:val="left" w:pos="960" w:leader="none"/>
        </w:tabs>
        <w:suppressAutoHyphens w:val="true"/>
        <w:bidi w:val="0"/>
        <w:spacing w:lineRule="auto" w:line="276" w:before="57" w:after="57"/>
        <w:ind w:hanging="0" w:left="567" w:right="0"/>
        <w:jc w:val="both"/>
        <w:rPr>
          <w:rFonts w:ascii="Verdana" w:hAnsi="Verdana"/>
          <w:sz w:val="20"/>
          <w:szCs w:val="20"/>
        </w:rPr>
      </w:pPr>
      <w:r>
        <w:rPr>
          <w:rFonts w:ascii="Verdana" w:hAnsi="Verdana"/>
          <w:b w:val="false"/>
          <w:bCs w:val="false"/>
          <w:color w:val="auto"/>
          <w:sz w:val="20"/>
          <w:szCs w:val="20"/>
        </w:rPr>
        <w:t>Eventual destaque do valor de retenções tributárias cabíveis.</w:t>
      </w:r>
    </w:p>
    <w:p>
      <w:pPr>
        <w:pStyle w:val="Normal"/>
        <w:tabs>
          <w:tab w:val="clear" w:pos="708"/>
          <w:tab w:val="left" w:pos="625" w:leader="none"/>
        </w:tabs>
        <w:spacing w:lineRule="auto" w:line="276" w:before="57" w:after="57"/>
        <w:ind w:hanging="0" w:left="0" w:right="0"/>
        <w:jc w:val="both"/>
        <w:rPr>
          <w:rFonts w:ascii="Verdana" w:hAnsi="Verdana"/>
          <w:sz w:val="20"/>
          <w:szCs w:val="20"/>
        </w:rPr>
      </w:pPr>
      <w:r>
        <w:rPr>
          <w:rFonts w:ascii="Verdana" w:hAnsi="Verdana"/>
          <w:b w:val="false"/>
          <w:bCs w:val="false"/>
          <w:color w:val="auto"/>
          <w:sz w:val="20"/>
          <w:szCs w:val="20"/>
        </w:rPr>
        <w:t>10.4. Haven</w:t>
      </w:r>
      <w:r>
        <w:rPr>
          <w:rFonts w:ascii="Verdana" w:hAnsi="Verdana"/>
          <w:color w:val="auto"/>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ind w:hanging="0" w:left="0" w:right="0"/>
        <w:jc w:val="both"/>
        <w:rPr/>
      </w:pPr>
      <w:r>
        <w:rPr>
          <w:rFonts w:ascii="Verdana" w:hAnsi="Verdana"/>
          <w:b w:val="false"/>
          <w:bCs w:val="false"/>
          <w:color w:val="auto"/>
          <w:sz w:val="20"/>
          <w:szCs w:val="20"/>
        </w:rPr>
        <w:t>10.5. A</w:t>
      </w:r>
      <w:r>
        <w:rPr>
          <w:rFonts w:ascii="Verdana" w:hAnsi="Verdana"/>
          <w:b w:val="false"/>
          <w:bCs w:val="false"/>
          <w:color w:val="auto"/>
          <w:sz w:val="20"/>
          <w:szCs w:val="20"/>
          <w:lang w:eastAsia="en-US"/>
        </w:rPr>
        <w:t xml:space="preserve"> nota fisc</w:t>
      </w:r>
      <w:r>
        <w:rPr>
          <w:rFonts w:ascii="Verdana" w:hAnsi="Verdana"/>
          <w:color w:val="auto"/>
          <w:sz w:val="20"/>
          <w:szCs w:val="20"/>
          <w:lang w:eastAsia="en-US"/>
        </w:rPr>
        <w:t>al ou instrumento de cobrança equivalente deverá ser obrigatoriamente acompanhado da comprovação da regularidade fiscal</w:t>
      </w:r>
      <w:r>
        <w:rPr>
          <w:rStyle w:val="InternetLink"/>
          <w:rFonts w:ascii="Verdana" w:hAnsi="Verdana"/>
          <w:color w:val="auto"/>
          <w:sz w:val="20"/>
          <w:szCs w:val="20"/>
          <w:lang w:eastAsia="en-US"/>
        </w:rPr>
        <w:t>.</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color w:val="auto"/>
          <w:sz w:val="20"/>
          <w:szCs w:val="20"/>
        </w:rPr>
        <w:t>10.6. O pagamento será efetuado no prazo de até 30 (trinta) dias úteis contados da finalização da liquidação da despesa.</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color w:val="auto"/>
          <w:sz w:val="20"/>
          <w:szCs w:val="20"/>
        </w:rPr>
        <w:t>10.7. O pagamento será realizado por meio de ordem bancária, para crédito em banco, agência e conta correntes indicadas pelo contratado.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color w:val="auto"/>
          <w:sz w:val="20"/>
          <w:szCs w:val="20"/>
        </w:rPr>
        <w:t>10.8. Será considerada data do pagamento o dia em que constar como emitida a ordem bancária para pagamento.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color w:val="auto"/>
          <w:sz w:val="20"/>
          <w:szCs w:val="20"/>
        </w:rPr>
        <w:t>10.9. Quando do pagamento, será efetuada a retenção tributária prevista na legislação aplicável.</w:t>
      </w:r>
    </w:p>
    <w:p>
      <w:pPr>
        <w:pStyle w:val="Normal"/>
        <w:spacing w:lineRule="auto" w:line="276" w:before="57" w:after="57"/>
        <w:ind w:hanging="0" w:left="0" w:right="0"/>
        <w:jc w:val="both"/>
        <w:rPr/>
      </w:pPr>
      <w:r>
        <w:rPr>
          <w:rFonts w:ascii="Verdana" w:hAnsi="Verdana"/>
          <w:b w:val="false"/>
          <w:bCs w:val="false"/>
          <w:i w:val="false"/>
          <w:iCs w:val="false"/>
          <w:color w:val="auto"/>
          <w:sz w:val="20"/>
          <w:szCs w:val="20"/>
          <w:lang w:eastAsia="en-US"/>
        </w:rPr>
        <w:t xml:space="preserve">10.10. O contratado regularmente optante pelo Simples Nacional, nos termos da </w:t>
      </w:r>
      <w:hyperlink r:id="rId2">
        <w:r>
          <w:rPr>
            <w:rStyle w:val="ListLabel20"/>
            <w:rFonts w:ascii="Verdana" w:hAnsi="Verdana"/>
            <w:b w:val="false"/>
            <w:bCs w:val="false"/>
            <w:i w:val="false"/>
            <w:iCs w:val="false"/>
            <w:color w:val="auto"/>
            <w:sz w:val="20"/>
            <w:szCs w:val="20"/>
            <w:u w:val="none"/>
            <w:lang w:eastAsia="en-US"/>
          </w:rPr>
          <w:t>Lei Complementar nº 123, de 2006</w:t>
        </w:r>
      </w:hyperlink>
      <w:r>
        <w:rPr>
          <w:rFonts w:ascii="Verdana" w:hAnsi="Verdana"/>
          <w:b w:val="false"/>
          <w:bCs w:val="false"/>
          <w:i w:val="false"/>
          <w:iCs w:val="false"/>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color w:val="auto"/>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color w:val="auto"/>
          <w:sz w:val="20"/>
          <w:szCs w:val="20"/>
        </w:rPr>
        <w:t>10.11.</w:t>
      </w:r>
      <w:r>
        <w:rPr>
          <w:rFonts w:ascii="Verdana" w:hAnsi="Verdana"/>
          <w:b/>
          <w:bCs/>
          <w:color w:val="auto"/>
          <w:sz w:val="20"/>
          <w:szCs w:val="20"/>
        </w:rPr>
        <w:t xml:space="preserve"> </w:t>
      </w:r>
      <w:r>
        <w:rPr>
          <w:rFonts w:ascii="Verdana" w:hAnsi="Verdana"/>
          <w:color w:val="auto"/>
          <w:sz w:val="20"/>
          <w:szCs w:val="20"/>
        </w:rPr>
        <w:t>Após o prazo acima referenciado, será paga multa financeira nos seguintes termos:</w:t>
      </w:r>
    </w:p>
    <w:p>
      <w:pPr>
        <w:pStyle w:val="PargrafodaLista"/>
        <w:tabs>
          <w:tab w:val="clear" w:pos="708"/>
          <w:tab w:val="left" w:pos="518" w:leader="none"/>
        </w:tabs>
        <w:spacing w:lineRule="auto" w:line="276" w:before="57" w:after="57"/>
        <w:ind w:hanging="0" w:left="0" w:right="0"/>
        <w:contextualSpacing w:val="false"/>
        <w:jc w:val="center"/>
        <w:rPr>
          <w:rFonts w:ascii="Verdana" w:hAnsi="Verdana"/>
          <w:sz w:val="20"/>
          <w:szCs w:val="20"/>
        </w:rPr>
      </w:pPr>
      <w:r>
        <w:rPr>
          <w:rFonts w:cs="Verdana" w:ascii="Verdana" w:hAnsi="Verdana"/>
          <w:color w:val="auto"/>
          <w:sz w:val="20"/>
          <w:szCs w:val="20"/>
        </w:rPr>
        <w:t xml:space="preserve">VM = VF </w:t>
      </w:r>
      <w:r>
        <w:rPr>
          <w:rFonts w:cs="Verdana" w:ascii="Verdana" w:hAnsi="Verdana"/>
          <w:color w:val="auto"/>
          <w:sz w:val="20"/>
          <w:szCs w:val="20"/>
          <w:vertAlign w:val="subscript"/>
        </w:rPr>
        <w:t>*</w:t>
      </w:r>
      <w:r>
        <w:rPr>
          <w:rFonts w:cs="Verdana" w:ascii="Verdana" w:hAnsi="Verdana"/>
          <w:color w:val="auto"/>
          <w:sz w:val="20"/>
          <w:szCs w:val="20"/>
        </w:rPr>
        <w:t xml:space="preserve"> </w:t>
      </w:r>
      <w:r>
        <w:rPr>
          <w:rFonts w:cs="Verdana" w:ascii="Verdana" w:hAnsi="Verdana"/>
          <w:color w:val="auto"/>
          <w:sz w:val="20"/>
          <w:szCs w:val="20"/>
          <w:u w:val="single"/>
        </w:rPr>
        <w:t>0,33</w:t>
      </w:r>
      <w:r>
        <w:rPr>
          <w:rFonts w:cs="Verdana" w:ascii="Verdana" w:hAnsi="Verdana"/>
          <w:color w:val="auto"/>
          <w:sz w:val="20"/>
          <w:szCs w:val="20"/>
        </w:rPr>
        <w:t xml:space="preserve"> </w:t>
      </w:r>
      <w:r>
        <w:rPr>
          <w:rFonts w:cs="Verdana" w:ascii="Verdana" w:hAnsi="Verdana"/>
          <w:color w:val="auto"/>
          <w:sz w:val="20"/>
          <w:szCs w:val="20"/>
          <w:vertAlign w:val="subscript"/>
        </w:rPr>
        <w:t>*</w:t>
      </w:r>
      <w:r>
        <w:rPr>
          <w:rFonts w:cs="Verdana" w:ascii="Verdana" w:hAnsi="Verdana"/>
          <w:color w:val="auto"/>
          <w:sz w:val="20"/>
          <w:szCs w:val="20"/>
        </w:rPr>
        <w:t xml:space="preserve"> ND</w:t>
      </w:r>
    </w:p>
    <w:p>
      <w:pPr>
        <w:pStyle w:val="PargrafodaLista"/>
        <w:tabs>
          <w:tab w:val="clear" w:pos="708"/>
          <w:tab w:val="left" w:pos="518" w:leader="none"/>
        </w:tabs>
        <w:spacing w:lineRule="auto" w:line="276" w:before="57" w:after="57"/>
        <w:ind w:hanging="0" w:left="0" w:right="0"/>
        <w:contextualSpacing w:val="false"/>
        <w:jc w:val="center"/>
        <w:rPr>
          <w:rFonts w:ascii="Verdana" w:hAnsi="Verdana"/>
          <w:sz w:val="20"/>
          <w:szCs w:val="20"/>
        </w:rPr>
      </w:pPr>
      <w:r>
        <w:rPr>
          <w:rFonts w:eastAsia="Verdana" w:cs="Verdana" w:ascii="Verdana" w:hAnsi="Verdana"/>
          <w:color w:val="auto"/>
          <w:sz w:val="20"/>
          <w:szCs w:val="20"/>
        </w:rPr>
        <w:t xml:space="preserve">        </w:t>
      </w:r>
      <w:r>
        <w:rPr>
          <w:rFonts w:cs="Verdana" w:ascii="Verdana" w:hAnsi="Verdana"/>
          <w:color w:val="auto"/>
          <w:sz w:val="20"/>
          <w:szCs w:val="20"/>
        </w:rPr>
        <w:t>100</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auto"/>
          <w:sz w:val="20"/>
          <w:szCs w:val="20"/>
        </w:rPr>
        <w:t xml:space="preserve">Onde: </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auto"/>
          <w:sz w:val="20"/>
          <w:szCs w:val="20"/>
        </w:rPr>
        <w:t xml:space="preserve">VM = Valor da Multa Financeira; </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auto"/>
          <w:sz w:val="20"/>
          <w:szCs w:val="20"/>
        </w:rPr>
        <w:t xml:space="preserve">VF = Valor da Nota Fiscal; </w:t>
      </w:r>
    </w:p>
    <w:p>
      <w:pPr>
        <w:pStyle w:val="PargrafodaLista"/>
        <w:tabs>
          <w:tab w:val="clear" w:pos="708"/>
          <w:tab w:val="left" w:pos="518" w:leader="none"/>
        </w:tabs>
        <w:spacing w:lineRule="auto" w:line="276" w:before="57" w:after="57"/>
        <w:ind w:hanging="0" w:left="0" w:right="0"/>
        <w:contextualSpacing w:val="false"/>
        <w:rPr>
          <w:rFonts w:ascii="Verdana" w:hAnsi="Verdana"/>
          <w:sz w:val="20"/>
          <w:szCs w:val="20"/>
        </w:rPr>
      </w:pPr>
      <w:r>
        <w:rPr>
          <w:rFonts w:eastAsia="Times New Roman" w:cs="Arial" w:ascii="Verdana" w:hAnsi="Verdana"/>
          <w:color w:val="auto"/>
          <w:sz w:val="20"/>
          <w:szCs w:val="20"/>
        </w:rPr>
        <w:t>ND = Número de dias em atraso.</w:t>
      </w:r>
    </w:p>
    <w:p>
      <w:pPr>
        <w:pStyle w:val="Normal"/>
        <w:suppressAutoHyphens w:val="false"/>
        <w:spacing w:lineRule="auto" w:line="276" w:before="57" w:after="57"/>
        <w:ind w:hanging="0" w:left="0" w:right="0"/>
        <w:jc w:val="both"/>
        <w:rPr>
          <w:rFonts w:ascii="Verdana" w:hAnsi="Verdana"/>
          <w:sz w:val="20"/>
          <w:szCs w:val="20"/>
        </w:rPr>
      </w:pPr>
      <w:r>
        <w:rPr>
          <w:rFonts w:eastAsia="Times New Roman" w:cs="Arial" w:ascii="Verdana" w:hAnsi="Verdana"/>
          <w:b w:val="false"/>
          <w:bCs w:val="false"/>
          <w:color w:val="auto"/>
          <w:sz w:val="20"/>
          <w:szCs w:val="20"/>
        </w:rPr>
        <w:t xml:space="preserve">10.12.. </w:t>
      </w:r>
      <w:r>
        <w:rPr>
          <w:rFonts w:cs="Arial" w:ascii="Verdana" w:hAnsi="Verdana"/>
          <w:b w:val="false"/>
          <w:bCs w:val="false"/>
          <w:color w:val="auto"/>
          <w:sz w:val="20"/>
          <w:szCs w:val="20"/>
        </w:rPr>
        <w:t>A NOTA FISCAL ELETRÔNICA deverá conter o mesmo CNPJ e razão social apresentado quando na proposta, assim como, o número da contratação, o (s) objeto (s), os valores unitários e totais.</w:t>
      </w:r>
    </w:p>
    <w:p>
      <w:pPr>
        <w:pStyle w:val="Normal"/>
        <w:suppressAutoHyphens w:val="false"/>
        <w:spacing w:lineRule="auto" w:line="276" w:before="57" w:after="57"/>
        <w:ind w:hanging="0" w:left="0" w:right="0"/>
        <w:jc w:val="both"/>
        <w:rPr>
          <w:rFonts w:ascii="Verdana" w:hAnsi="Verdana"/>
          <w:sz w:val="20"/>
          <w:szCs w:val="20"/>
        </w:rPr>
      </w:pPr>
      <w:r>
        <w:rPr>
          <w:rFonts w:eastAsia="Times New Roman" w:cs="Arial" w:ascii="Verdana" w:hAnsi="Verdana"/>
          <w:b w:val="false"/>
          <w:bCs w:val="false"/>
          <w:color w:val="auto"/>
          <w:sz w:val="20"/>
          <w:szCs w:val="20"/>
        </w:rPr>
        <w:t>10.13.</w:t>
      </w:r>
      <w:r>
        <w:rPr>
          <w:rFonts w:cs="Arial" w:ascii="Verdana" w:hAnsi="Verdana"/>
          <w:b w:val="false"/>
          <w:bCs w:val="false"/>
          <w:color w:val="auto"/>
          <w:sz w:val="20"/>
          <w:szCs w:val="20"/>
        </w:rPr>
        <w:t xml:space="preserve"> Qualquer alteração feita no contrato social, ato constitutivo ou estatuto deverá ser co</w:t>
      </w:r>
      <w:r>
        <w:rPr>
          <w:rFonts w:cs="Arial" w:ascii="Verdana" w:hAnsi="Verdana"/>
          <w:color w:val="auto"/>
          <w:sz w:val="20"/>
          <w:szCs w:val="20"/>
        </w:rPr>
        <w:t xml:space="preserve">municado ao CONTRATANTE, mediante documentação própria, para apreciação da autoridade competente. </w:t>
      </w:r>
    </w:p>
    <w:p>
      <w:pPr>
        <w:pStyle w:val="Normal"/>
        <w:suppressAutoHyphens w:val="false"/>
        <w:spacing w:lineRule="auto" w:line="276" w:before="57" w:after="57"/>
        <w:ind w:hanging="0" w:left="0" w:right="0"/>
        <w:jc w:val="both"/>
        <w:rPr>
          <w:rFonts w:ascii="Verdana" w:hAnsi="Verdana"/>
          <w:sz w:val="20"/>
          <w:szCs w:val="20"/>
        </w:rPr>
      </w:pPr>
      <w:r>
        <w:rPr>
          <w:rFonts w:eastAsia="Times New Roman" w:cs="Arial" w:ascii="Verdana" w:hAnsi="Verdana"/>
          <w:b w:val="false"/>
          <w:bCs w:val="false"/>
          <w:color w:val="auto"/>
          <w:sz w:val="20"/>
          <w:szCs w:val="20"/>
        </w:rPr>
        <w:t xml:space="preserve">10.14. </w:t>
      </w:r>
      <w:r>
        <w:rPr>
          <w:rFonts w:cs="Arial" w:ascii="Verdana" w:hAnsi="Verdana"/>
          <w:b w:val="false"/>
          <w:bCs w:val="false"/>
          <w:color w:val="auto"/>
          <w:sz w:val="20"/>
          <w:szCs w:val="20"/>
        </w:rPr>
        <w:t>O CONTRATANTE poderá deduzir do pagamento importâncias que a qualquer título lhe forem devidos pela empresa CONTRATADA, em decorrência de descumprimento de suas obrigações.</w:t>
      </w:r>
    </w:p>
    <w:p>
      <w:pPr>
        <w:pStyle w:val="Default"/>
        <w:spacing w:lineRule="auto" w:line="276" w:before="57" w:after="57"/>
        <w:ind w:hanging="0" w:left="0" w:right="0"/>
        <w:jc w:val="both"/>
        <w:rPr>
          <w:rFonts w:ascii="Verdana" w:hAnsi="Verdana"/>
          <w:sz w:val="20"/>
          <w:szCs w:val="20"/>
        </w:rPr>
      </w:pPr>
      <w:r>
        <w:rPr>
          <w:rFonts w:cs="Arial" w:ascii="Verdana" w:hAnsi="Verdana"/>
          <w:b w:val="false"/>
          <w:bCs w:val="false"/>
          <w:color w:val="auto"/>
          <w:sz w:val="20"/>
          <w:szCs w:val="20"/>
        </w:rPr>
        <w:t>10.15.</w:t>
      </w:r>
      <w:r>
        <w:rPr>
          <w:rFonts w:cs="Arial" w:ascii="Verdana" w:hAnsi="Verdana"/>
          <w:color w:val="auto"/>
          <w:sz w:val="20"/>
          <w:szCs w:val="20"/>
        </w:rPr>
        <w:t xml:space="preserve"> Para a efetivação do pagamento, a CONTRATADA deverá manter as </w:t>
      </w:r>
      <w:r>
        <w:rPr>
          <w:rFonts w:cs="Arial" w:ascii="Verdana" w:hAnsi="Verdana"/>
          <w:color w:val="auto"/>
          <w:sz w:val="20"/>
          <w:szCs w:val="20"/>
          <w:lang w:eastAsia="pt-BR"/>
        </w:rPr>
        <w:t>condições relativas à proposta de preço e a habilitação;</w:t>
      </w:r>
    </w:p>
    <w:p>
      <w:pPr>
        <w:pStyle w:val="Default"/>
        <w:spacing w:lineRule="auto" w:line="276" w:before="57" w:after="57"/>
        <w:ind w:hanging="0" w:left="0" w:right="0"/>
        <w:jc w:val="both"/>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bCs/>
          <w:iCs/>
          <w:color w:val="auto"/>
          <w:sz w:val="20"/>
          <w:szCs w:val="20"/>
        </w:rPr>
        <w:t>11</w:t>
      </w:r>
      <w:r>
        <w:rPr>
          <w:rFonts w:ascii="Verdana" w:hAnsi="Verdana"/>
          <w:b/>
          <w:bCs/>
          <w:iCs/>
          <w:color w:val="auto"/>
          <w:sz w:val="20"/>
          <w:szCs w:val="20"/>
        </w:rPr>
        <w:t>. DAS SANÇÕES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 Comete infração administrativa o fornecedor/prestador de serviço que cometer quaisquer das infrações previstas no art. 155 da Lei nº 14.133, de 2021, quais sejam:</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.1.1. Dar causa à inexecução parcial do contrato.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.1.2. Dar causa à inexecução parcial que cause grave dano à Administração, ao funcionamento dos serviços públicos ou ao interesse coletivo.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.1.3. Dar causa à inexecução</w:t>
      </w:r>
      <w:r>
        <w:rPr>
          <w:rFonts w:ascii="Verdana" w:hAnsi="Verdana"/>
          <w:b w:val="false"/>
          <w:bCs w:val="false"/>
          <w:iCs/>
          <w:color w:val="auto"/>
          <w:sz w:val="20"/>
          <w:szCs w:val="20"/>
          <w:u w:val="none"/>
        </w:rPr>
        <w:t xml:space="preserve"> </w:t>
      </w:r>
      <w:r>
        <w:rPr>
          <w:rFonts w:cs="Arial" w:ascii="Verdana" w:hAnsi="Verdana"/>
          <w:b w:val="false"/>
          <w:bCs w:val="false"/>
          <w:iCs/>
          <w:color w:val="auto"/>
          <w:sz w:val="20"/>
          <w:szCs w:val="20"/>
          <w:u w:val="none"/>
        </w:rPr>
        <w:t>total.</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.1.4. Deixar de entregar a documentação exigida para o certame.</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.1.5. Não manter a proposta, salvo em decorrência de fato superveniente devidamente justificado.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 xml:space="preserve">.1.6. Não celebrar o contrato ou não entregar a documentação exigida para a contratação, quando convocado dentro do prazo de validade de sua proposta. </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.1.7. Ensejar o retardamento da execução ou da entrega do objeto sem motivo justificado,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.1.8. Apresentar declaração ou documentação falsa exigida para o certame ou prestar declaração falsa durante a dispensa eletrônica ou a execução do objeto.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color w:val="auto"/>
          <w:sz w:val="20"/>
          <w:szCs w:val="20"/>
        </w:rPr>
        <w:t>11.1.9. Fraudar a dispensa eletrônica ou praticar ato fraudulento na execução do objeto.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.1.10. Comportar-se de modo inidôneo ou cometer fraude de qualquer natureza.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.1.11. Praticar atos ilícitos com vistas a frustrar os objetivos deste certame.</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.1.12. Praticar ato lesivo previsto no art. 5º da Lei nº 12.846, de 1º de agosto de 2013.</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11.1.13.</w:t>
      </w:r>
      <w:r>
        <w:rPr>
          <w:rFonts w:ascii="Verdana" w:hAnsi="Verdana"/>
          <w:b w:val="false"/>
          <w:bCs w:val="false"/>
          <w:iCs/>
          <w:color w:val="auto"/>
          <w:sz w:val="20"/>
          <w:szCs w:val="20"/>
        </w:rPr>
        <w:t xml:space="preserve"> O fornecedor que cometer qualquer das infrações discriminadas nos subitens anteriores fica</w:t>
      </w:r>
      <w:r>
        <w:rPr>
          <w:rFonts w:ascii="Verdana" w:hAnsi="Verdana"/>
          <w:iCs/>
          <w:color w:val="auto"/>
          <w:sz w:val="20"/>
          <w:szCs w:val="20"/>
        </w:rPr>
        <w:t>rá sujeito, sem prejuízo da responsabilidade civil e criminal, às seguintes sanções:</w:t>
      </w:r>
    </w:p>
    <w:p>
      <w:pPr>
        <w:pStyle w:val="Normal"/>
        <w:spacing w:lineRule="auto" w:line="276" w:before="57" w:after="57"/>
        <w:ind w:hanging="0" w:left="0" w:right="0"/>
        <w:jc w:val="both"/>
        <w:rPr>
          <w:rFonts w:ascii="Verdana" w:hAnsi="Verdana"/>
          <w:sz w:val="20"/>
          <w:szCs w:val="20"/>
        </w:rPr>
      </w:pPr>
      <w:r>
        <w:rPr>
          <w:rFonts w:ascii="Verdana" w:hAnsi="Verdana"/>
          <w:iCs/>
          <w:color w:val="auto"/>
          <w:sz w:val="20"/>
          <w:szCs w:val="20"/>
        </w:rPr>
        <w:tab/>
        <w:t>a) Advertência pela falta do subitem 11.1.1 deste Termo de Referência, quando não se justificar a imposição de penalidade mais grave.</w:t>
      </w:r>
    </w:p>
    <w:p>
      <w:pPr>
        <w:pStyle w:val="Normal"/>
        <w:spacing w:lineRule="auto" w:line="276" w:before="57" w:after="57"/>
        <w:ind w:hanging="0" w:left="0" w:right="0"/>
        <w:jc w:val="both"/>
        <w:rPr>
          <w:rFonts w:ascii="Verdana" w:hAnsi="Verdana"/>
          <w:sz w:val="20"/>
          <w:szCs w:val="20"/>
        </w:rPr>
      </w:pPr>
      <w:r>
        <w:rPr>
          <w:rFonts w:ascii="Verdana" w:hAnsi="Verdana"/>
          <w:iCs/>
          <w:color w:val="auto"/>
          <w:sz w:val="20"/>
          <w:szCs w:val="20"/>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auto"/>
          <w:sz w:val="20"/>
          <w:szCs w:val="20"/>
        </w:rPr>
        <w:t>11</w:t>
      </w:r>
      <w:r>
        <w:rPr>
          <w:rFonts w:ascii="Verdana" w:hAnsi="Verdana"/>
          <w:iCs/>
          <w:color w:val="auto"/>
          <w:sz w:val="20"/>
          <w:szCs w:val="20"/>
        </w:rPr>
        <w:t xml:space="preserve">.1.7 e 20% (vinte por cento), se cometidas infrações previstas nos itens 11.1.8 a 11.1.12; </w:t>
      </w:r>
    </w:p>
    <w:p>
      <w:pPr>
        <w:pStyle w:val="Normal"/>
        <w:spacing w:lineRule="auto" w:line="276" w:before="57" w:after="57"/>
        <w:ind w:hanging="0" w:left="0" w:right="0"/>
        <w:jc w:val="both"/>
        <w:rPr>
          <w:rFonts w:ascii="Verdana" w:hAnsi="Verdana"/>
          <w:sz w:val="20"/>
          <w:szCs w:val="20"/>
        </w:rPr>
      </w:pPr>
      <w:r>
        <w:rPr>
          <w:rFonts w:ascii="Verdana" w:hAnsi="Verdana"/>
          <w:iCs/>
          <w:color w:val="auto"/>
          <w:sz w:val="20"/>
          <w:szCs w:val="20"/>
        </w:rPr>
        <w:tab/>
        <w:tab/>
        <w:t>b.1) O valor da multa poderá ser descontado das faturas devidas à CONTRATADA;</w:t>
      </w:r>
    </w:p>
    <w:p>
      <w:pPr>
        <w:pStyle w:val="Normal"/>
        <w:spacing w:lineRule="auto" w:line="276" w:before="57" w:after="57"/>
        <w:ind w:hanging="0" w:left="0" w:right="0"/>
        <w:jc w:val="both"/>
        <w:rPr>
          <w:rFonts w:ascii="Verdana" w:hAnsi="Verdana"/>
          <w:sz w:val="20"/>
          <w:szCs w:val="20"/>
        </w:rPr>
      </w:pPr>
      <w:r>
        <w:rPr>
          <w:rFonts w:ascii="Verdana" w:hAnsi="Verdana"/>
          <w:iCs/>
          <w:color w:val="auto"/>
          <w:sz w:val="20"/>
          <w:szCs w:val="20"/>
        </w:rPr>
        <w:tab/>
        <w:tab/>
        <w:t xml:space="preserve">b.2) A multa pode ser aplicada isoladamente ou juntamente com as penalidades definidas nos itens “c” e “d” abaixo: </w:t>
      </w:r>
    </w:p>
    <w:p>
      <w:pPr>
        <w:pStyle w:val="Normal"/>
        <w:spacing w:lineRule="auto" w:line="276" w:before="57" w:after="57"/>
        <w:ind w:hanging="0" w:left="0" w:right="0"/>
        <w:jc w:val="both"/>
        <w:rPr>
          <w:rFonts w:ascii="Verdana" w:hAnsi="Verdana"/>
          <w:sz w:val="20"/>
          <w:szCs w:val="20"/>
        </w:rPr>
      </w:pPr>
      <w:r>
        <w:rPr>
          <w:rFonts w:ascii="Verdana" w:hAnsi="Verdana"/>
          <w:iCs/>
          <w:color w:val="auto"/>
          <w:sz w:val="20"/>
          <w:szCs w:val="20"/>
        </w:rPr>
        <w:tab/>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76" w:before="57" w:after="57"/>
        <w:ind w:hanging="0" w:left="0" w:right="0"/>
        <w:jc w:val="both"/>
        <w:rPr>
          <w:rFonts w:ascii="Verdana" w:hAnsi="Verdana"/>
          <w:sz w:val="20"/>
          <w:szCs w:val="20"/>
        </w:rPr>
      </w:pPr>
      <w:r>
        <w:rPr>
          <w:rFonts w:ascii="Verdana" w:hAnsi="Verdana"/>
          <w:iCs/>
          <w:color w:val="auto"/>
          <w:sz w:val="20"/>
          <w:szCs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.3. Na aplicação das sanções serão considerados: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.3.1. A natureza e a gravidade da infração cometida.</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color w:val="auto"/>
          <w:sz w:val="20"/>
          <w:szCs w:val="20"/>
        </w:rPr>
        <w:t>11.3.2. As peculiaridades do caso concreto.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color w:val="auto"/>
          <w:sz w:val="20"/>
          <w:szCs w:val="20"/>
        </w:rPr>
        <w:t>11.3.3. As circunstâncias agravantes ou atenuantes.</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color w:val="auto"/>
          <w:sz w:val="20"/>
          <w:szCs w:val="20"/>
        </w:rPr>
        <w:t>11.3.4. Os danos que dela provierem para a Administração Pública.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auto"/>
          <w:sz w:val="20"/>
          <w:szCs w:val="20"/>
        </w:rPr>
        <w:t>11</w:t>
      </w:r>
      <w:r>
        <w:rPr>
          <w:rFonts w:ascii="Verdana" w:hAnsi="Verdana"/>
          <w:b w:val="false"/>
          <w:bCs w:val="false"/>
          <w:iCs/>
          <w:color w:val="auto"/>
          <w:sz w:val="20"/>
          <w:szCs w:val="20"/>
        </w:rPr>
        <w:t>.3.5. A implantação ou o aperfeiçoamento de programa de integridade, conforme normas e orientações dos órgãos de controle.</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color w:val="auto"/>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color w:val="auto"/>
          <w:sz w:val="20"/>
          <w:szCs w:val="20"/>
          <w:lang w:eastAsia="en-US"/>
        </w:rPr>
        <w:t xml:space="preserve">11.5. </w:t>
      </w:r>
      <w:r>
        <w:rPr>
          <w:rFonts w:ascii="Verdana" w:hAnsi="Verdana"/>
          <w:iCs/>
          <w:color w:val="auto"/>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57" w:after="57"/>
        <w:ind w:hanging="0" w:left="0" w:right="0"/>
        <w:jc w:val="both"/>
        <w:rPr>
          <w:rFonts w:ascii="Verdana" w:hAnsi="Verdana"/>
          <w:sz w:val="20"/>
          <w:szCs w:val="20"/>
        </w:rPr>
      </w:pPr>
      <w:r>
        <w:rPr>
          <w:rFonts w:ascii="Verdana" w:hAnsi="Verdana"/>
          <w:b/>
          <w:bCs/>
          <w:color w:val="auto"/>
          <w:sz w:val="20"/>
          <w:szCs w:val="20"/>
          <w:lang w:eastAsia="en-US"/>
        </w:rPr>
        <w:t>12. DA HABILITAÇÃO</w:t>
      </w:r>
    </w:p>
    <w:p>
      <w:pPr>
        <w:pStyle w:val="Normal"/>
        <w:spacing w:lineRule="auto" w:line="276" w:before="57" w:after="57"/>
        <w:ind w:hanging="0" w:left="0" w:right="0"/>
        <w:jc w:val="both"/>
        <w:rPr>
          <w:rFonts w:ascii="Verdana" w:hAnsi="Verdana"/>
          <w:sz w:val="20"/>
          <w:szCs w:val="20"/>
        </w:rPr>
      </w:pPr>
      <w:r>
        <w:rPr>
          <w:rFonts w:cs="Verdana" w:ascii="Verdana" w:hAnsi="Verdana"/>
          <w:b w:val="false"/>
          <w:bCs w:val="false"/>
          <w:color w:val="auto"/>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lang w:eastAsia="ar-SA"/>
        </w:rPr>
        <w:t>a) SICAF;</w:t>
      </w:r>
    </w:p>
    <w:p>
      <w:pPr>
        <w:pStyle w:val="ListParagraph"/>
        <w:spacing w:lineRule="auto" w:line="276" w:before="57" w:after="57"/>
        <w:ind w:hanging="0" w:left="0" w:right="0"/>
        <w:contextualSpacing w:val="false"/>
        <w:jc w:val="both"/>
        <w:rPr/>
      </w:pPr>
      <w:r>
        <w:rPr>
          <w:rFonts w:cs="Verdana" w:ascii="Verdana" w:hAnsi="Verdana"/>
          <w:b w:val="false"/>
          <w:bCs w:val="false"/>
          <w:color w:val="auto"/>
          <w:sz w:val="20"/>
          <w:szCs w:val="20"/>
          <w:lang w:eastAsia="ar-SA"/>
        </w:rPr>
        <w:t>b) Cadastro Nacional de Empresas Inidôneas e Suspensas – CEIS, mantido pela Controladoria-Geral da União (</w:t>
      </w:r>
      <w:hyperlink r:id="rId3">
        <w:r>
          <w:rPr>
            <w:rStyle w:val="ListLabel21"/>
            <w:rFonts w:cs="Verdana" w:ascii="Verdana" w:hAnsi="Verdana"/>
            <w:b w:val="false"/>
            <w:bCs w:val="false"/>
            <w:color w:val="auto"/>
            <w:sz w:val="20"/>
            <w:szCs w:val="20"/>
            <w:u w:val="single"/>
            <w:lang w:eastAsia="ar-SA"/>
          </w:rPr>
          <w:t>www.portaldatransparencia.gov.br/ceis</w:t>
        </w:r>
      </w:hyperlink>
      <w:r>
        <w:rPr>
          <w:rFonts w:cs="Verdana" w:ascii="Verdana" w:hAnsi="Verdana"/>
          <w:b w:val="false"/>
          <w:bCs w:val="false"/>
          <w:color w:val="auto"/>
          <w:sz w:val="20"/>
          <w:szCs w:val="20"/>
          <w:lang w:eastAsia="ar-SA"/>
        </w:rPr>
        <w:t>);</w:t>
      </w:r>
    </w:p>
    <w:p>
      <w:pPr>
        <w:pStyle w:val="ListParagraph"/>
        <w:spacing w:lineRule="auto" w:line="276" w:before="57" w:after="57"/>
        <w:ind w:hanging="0" w:left="0" w:right="0"/>
        <w:contextualSpacing w:val="false"/>
        <w:jc w:val="both"/>
        <w:rPr/>
      </w:pPr>
      <w:r>
        <w:rPr>
          <w:rFonts w:cs="Verdana" w:ascii="Verdana" w:hAnsi="Verdana"/>
          <w:b w:val="false"/>
          <w:bCs w:val="false"/>
          <w:color w:val="auto"/>
          <w:sz w:val="20"/>
          <w:szCs w:val="20"/>
          <w:lang w:eastAsia="ar-SA"/>
        </w:rPr>
        <w:t>c) Cadastro Nacional de Condenações Cíveis por Atos de Improbidade Administrativa, mantido pelo Conselho Nacional de Justiça (</w:t>
      </w:r>
      <w:hyperlink r:id="rId4">
        <w:r>
          <w:rPr>
            <w:rStyle w:val="ListLabel21"/>
            <w:rFonts w:cs="Verdana" w:ascii="Verdana" w:hAnsi="Verdana"/>
            <w:b w:val="false"/>
            <w:bCs w:val="false"/>
            <w:color w:val="auto"/>
            <w:sz w:val="20"/>
            <w:szCs w:val="20"/>
            <w:u w:val="single"/>
            <w:lang w:eastAsia="ar-SA"/>
          </w:rPr>
          <w:t>www.cnj.jus.br/improbidade_adm/consultar_requerido.php</w:t>
        </w:r>
      </w:hyperlink>
      <w:r>
        <w:rPr>
          <w:rFonts w:cs="Verdana" w:ascii="Verdana" w:hAnsi="Verdana"/>
          <w:b w:val="false"/>
          <w:bCs w:val="false"/>
          <w:color w:val="auto"/>
          <w:sz w:val="20"/>
          <w:szCs w:val="20"/>
          <w:lang w:eastAsia="ar-SA"/>
        </w:rPr>
        <w:t>).</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ind w:left="0" w:right="0"/>
        <w:jc w:val="both"/>
        <w:rPr/>
      </w:pPr>
      <w:r>
        <w:rPr>
          <w:rFonts w:cs="Verdana" w:ascii="Verdana" w:hAnsi="Verdana"/>
          <w:b w:val="false"/>
          <w:bCs w:val="false"/>
          <w:color w:val="auto"/>
          <w:sz w:val="20"/>
          <w:szCs w:val="20"/>
          <w:lang w:eastAsia="ar-SA"/>
        </w:rPr>
        <w:t>e) Cadastro de empresas inid</w:t>
      </w:r>
      <w:r>
        <w:rPr>
          <w:rFonts w:cs="Verdana" w:ascii="Verdana" w:hAnsi="Verdana"/>
          <w:b w:val="false"/>
          <w:bCs w:val="false"/>
          <w:color w:val="auto"/>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2"/>
            <w:rFonts w:cs="Verdana" w:ascii="Verdana" w:hAnsi="Verdana"/>
            <w:b w:val="false"/>
            <w:bCs w:val="false"/>
            <w:color w:val="auto"/>
            <w:sz w:val="20"/>
            <w:szCs w:val="20"/>
            <w:u w:val="single"/>
          </w:rPr>
          <w:t>https://www.tcees.tc.br/portal-da-transparencia/consultas/lista-de</w:t>
        </w:r>
      </w:hyperlink>
      <w:r>
        <w:rPr>
          <w:rFonts w:cs="Verdana" w:ascii="Verdana" w:hAnsi="Verdana"/>
          <w:b w:val="false"/>
          <w:bCs w:val="false"/>
          <w:color w:val="auto"/>
          <w:sz w:val="20"/>
          <w:szCs w:val="20"/>
        </w:rPr>
        <w:t xml:space="preserve"> responsáveis/proibidos-de-contratar/).</w:t>
      </w:r>
    </w:p>
    <w:p>
      <w:pPr>
        <w:pStyle w:val="Normal"/>
        <w:spacing w:lineRule="auto" w:line="276" w:before="57" w:after="57"/>
        <w:ind w:left="0" w:right="0"/>
        <w:jc w:val="both"/>
        <w:rPr/>
      </w:pPr>
      <w:r>
        <w:rPr>
          <w:rFonts w:cs="Verdana" w:ascii="Verdana" w:hAnsi="Verdana"/>
          <w:b w:val="false"/>
          <w:bCs w:val="false"/>
          <w:color w:val="auto"/>
          <w:sz w:val="20"/>
          <w:szCs w:val="20"/>
          <w:lang w:eastAsia="ar-SA"/>
        </w:rPr>
        <w:t xml:space="preserve">12.1.1. </w:t>
      </w:r>
      <w:r>
        <w:rPr>
          <w:rFonts w:cs="Verdana" w:ascii="Verdana" w:hAnsi="Verdana"/>
          <w:color w:val="auto"/>
          <w:sz w:val="20"/>
          <w:szCs w:val="20"/>
          <w:lang w:eastAsia="ar-SA"/>
        </w:rPr>
        <w:t>Para a consulta de licitantes pessoa jurídica poderá haver a substituição das consultas das alíneas “b”, “c” e “d” acima pela Consulta Consolidada de Pessoa Jurídica do TCU (</w:t>
      </w:r>
      <w:hyperlink r:id="rId6">
        <w:r>
          <w:rPr>
            <w:rStyle w:val="ListLabel23"/>
            <w:rFonts w:cs="Verdana" w:ascii="Verdana" w:hAnsi="Verdana"/>
            <w:color w:val="auto"/>
            <w:sz w:val="20"/>
            <w:szCs w:val="20"/>
            <w:u w:val="single"/>
            <w:lang w:eastAsia="ar-SA"/>
          </w:rPr>
          <w:t>https://certidoesapf.apps.tcu.gov.br/</w:t>
        </w:r>
      </w:hyperlink>
      <w:r>
        <w:rPr>
          <w:rFonts w:cs="Verdana" w:ascii="Verdana" w:hAnsi="Verdana"/>
          <w:color w:val="auto"/>
          <w:sz w:val="20"/>
          <w:szCs w:val="20"/>
          <w:lang w:eastAsia="ar-SA"/>
        </w:rPr>
        <w:t>);</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12.1.2.1</w:t>
      </w:r>
      <w:r>
        <w:rPr>
          <w:rFonts w:cs="Verdana" w:ascii="Verdana" w:hAnsi="Verdana"/>
          <w:b/>
          <w:bCs/>
          <w:color w:val="auto"/>
          <w:sz w:val="20"/>
          <w:szCs w:val="20"/>
        </w:rPr>
        <w:t>.</w:t>
      </w:r>
      <w:r>
        <w:rPr>
          <w:rFonts w:cs="Verdana" w:ascii="Verdana" w:hAnsi="Verdana"/>
          <w:bCs/>
          <w:color w:val="auto"/>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12.1.2.3. O licitante será convocado para manifestação previamente à sua desclassificação.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lang w:eastAsia="ar-SA"/>
        </w:rPr>
        <w:t xml:space="preserve">12.2. </w:t>
      </w:r>
      <w:r>
        <w:rPr>
          <w:rFonts w:cs="Verdana" w:ascii="Verdana" w:hAnsi="Verdana"/>
          <w:b w:val="false"/>
          <w:bCs w:val="false"/>
          <w:color w:val="auto"/>
          <w:sz w:val="20"/>
          <w:szCs w:val="20"/>
        </w:rPr>
        <w:t>Caso atendidas as condições de participação, a habilitação dos licitantes será verificada por meio do SICAF, nos documentos por ele abrangidos</w:t>
      </w:r>
      <w:r>
        <w:rPr>
          <w:rFonts w:cs="Verdana" w:ascii="Verdana" w:hAnsi="Verdana"/>
          <w:b w:val="false"/>
          <w:bCs w:val="false"/>
          <w:color w:val="auto"/>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12.3. Ha</w:t>
      </w:r>
      <w:r>
        <w:rPr>
          <w:rFonts w:cs="Verdana" w:ascii="Verdana" w:hAnsi="Verdana"/>
          <w:color w:val="auto"/>
          <w:sz w:val="20"/>
          <w:szCs w:val="2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shd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color w:val="auto"/>
          <w:sz w:val="20"/>
          <w:szCs w:val="20"/>
        </w:rPr>
        <w:t>12.4. Somente haverá a necessidade de comprovação do preenchimento de requisitos mediante apresentação dos documentos originais não-digitais quando houver dúvida em relação à integridade do documento digital.</w:t>
      </w:r>
    </w:p>
    <w:p>
      <w:pPr>
        <w:pStyle w:val="PADRO"/>
        <w:widowControl/>
        <w:shd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color w:val="auto"/>
          <w:sz w:val="20"/>
          <w:szCs w:val="20"/>
        </w:rPr>
        <w:t>12.5. Não serão aceitos documentos de habilitação com indicação de CNPJ/CPF diferentes, salvo aqueles legalmente permitidos.</w:t>
      </w:r>
    </w:p>
    <w:p>
      <w:pPr>
        <w:pStyle w:val="PADRO"/>
        <w:widowControl/>
        <w:shd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color w:val="auto"/>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color w:val="auto"/>
          <w:sz w:val="20"/>
          <w:szCs w:val="20"/>
        </w:rPr>
        <w:t>12.7. Ress</w:t>
      </w:r>
      <w:r>
        <w:rPr>
          <w:rFonts w:cs="Verdana" w:ascii="Verdana" w:hAnsi="Verdana"/>
          <w:color w:val="auto"/>
          <w:sz w:val="20"/>
          <w:szCs w:val="20"/>
        </w:rPr>
        <w:t>alvado o disposto no item 5.3, os licitantes deverão encaminhar, nos termos deste Edital, a documentação relacionada nos itens a seguir, para fins de habilitação: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bCs/>
          <w:color w:val="auto"/>
          <w:sz w:val="20"/>
          <w:szCs w:val="20"/>
        </w:rPr>
        <w:t>12.8 Habilitação jurídica: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12.8.1 No caso de empresário individual: inscrição no Registro Público de Empresas Mercantis, a cargo da Junta Comercial da respectiva sede.</w:t>
      </w:r>
    </w:p>
    <w:p>
      <w:pPr>
        <w:pStyle w:val="ListParagraph"/>
        <w:spacing w:lineRule="auto" w:line="276" w:before="57" w:after="57"/>
        <w:ind w:hanging="0" w:left="0" w:right="0"/>
        <w:contextualSpacing w:val="false"/>
        <w:jc w:val="both"/>
        <w:rPr/>
      </w:pPr>
      <w:r>
        <w:rPr>
          <w:rFonts w:cs="Verdana" w:ascii="Verdana" w:hAnsi="Verdana"/>
          <w:b w:val="false"/>
          <w:bCs w:val="false"/>
          <w:color w:val="auto"/>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22"/>
            <w:rFonts w:cs="Verdana" w:ascii="Verdana" w:hAnsi="Verdana"/>
            <w:b w:val="false"/>
            <w:bCs w:val="false"/>
            <w:color w:val="auto"/>
            <w:sz w:val="20"/>
            <w:szCs w:val="20"/>
            <w:u w:val="single"/>
          </w:rPr>
          <w:t>www.portaldoempreendedor.gov.br</w:t>
        </w:r>
      </w:hyperlink>
      <w:r>
        <w:rPr>
          <w:rFonts w:cs="Verdana" w:ascii="Verdana" w:hAnsi="Verdana"/>
          <w:b w:val="false"/>
          <w:bCs w:val="false"/>
          <w:color w:val="auto"/>
          <w:sz w:val="20"/>
          <w:szCs w:val="20"/>
          <w:u w:val="single"/>
        </w:rPr>
        <w:t>.</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12.8.7 No</w:t>
      </w:r>
      <w:r>
        <w:rPr>
          <w:rFonts w:cs="Verdana" w:ascii="Verdana" w:hAnsi="Verdana"/>
          <w:bCs/>
          <w:color w:val="auto"/>
          <w:sz w:val="20"/>
          <w:szCs w:val="20"/>
        </w:rPr>
        <w:t xml:space="preserve"> caso de empresa ou sociedade estrangeira em funcionamento no País: decreto de autorização.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auto"/>
          <w:sz w:val="20"/>
          <w:szCs w:val="20"/>
        </w:rPr>
        <w:t>12.8.8 Os documentos acima deverão estar acompanhados de todas as alterações ou da con</w:t>
      </w:r>
      <w:r>
        <w:rPr>
          <w:rFonts w:cs="Verdana" w:ascii="Verdana" w:hAnsi="Verdana"/>
          <w:bCs/>
          <w:color w:val="auto"/>
          <w:sz w:val="20"/>
          <w:szCs w:val="20"/>
        </w:rPr>
        <w:t>solidação respectiva.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bCs/>
          <w:color w:val="auto"/>
          <w:sz w:val="20"/>
          <w:szCs w:val="20"/>
        </w:rPr>
        <w:t>12.9 Regularidade fiscal e trabalhista:</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lang w:eastAsia="en-US"/>
        </w:rPr>
        <w:t>12.9.1 Prova de inscrição no Cadastro Nacional de Pessoas Jurídicas ou no Cadastro de Pessoas Físicas, conforme o caso.</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lang w:eastAsia="en-US"/>
        </w:rPr>
        <w:t>12.9.2 Certidão de regularidade junto à fazenda pública Municipal, do domicílio do Licitante.</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rPr>
        <w:t>12.9.3 Certidão de regularidade junto à fazenda pública Estadual, do domicílio do Licitante.</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rPr>
        <w:t>12.9.5 Certidão de regularidade junto ao FGTS;</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lang w:eastAsia="en-US"/>
        </w:rPr>
        <w:t>12.9.6 Certidão Negativa De Débitos Trabalhistas (CNDT) de acordo com a Lei 12440 de 7 de julho de 2011.</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lang w:eastAsia="en-US" w:bidi="pt-BR"/>
        </w:rPr>
        <w:t xml:space="preserve">12.9.7 Caso o vencedor do menor preço seja qualificado como microempresa ou empresa de pequeno porte </w:t>
      </w:r>
      <w:r>
        <w:rPr>
          <w:rFonts w:cs="Verdana" w:ascii="Verdana" w:hAnsi="Verdana"/>
          <w:b w:val="false"/>
          <w:bCs w:val="false"/>
          <w:color w:val="auto"/>
          <w:sz w:val="20"/>
          <w:szCs w:val="20"/>
          <w:lang w:eastAsia="en-US"/>
        </w:rPr>
        <w:t>deverá apresentar toda a documentação exigida para efeito de</w:t>
      </w:r>
      <w:r>
        <w:rPr>
          <w:rFonts w:cs="Verdana" w:ascii="Verdana" w:hAnsi="Verdana"/>
          <w:color w:val="auto"/>
          <w:sz w:val="20"/>
          <w:szCs w:val="20"/>
          <w:lang w:eastAsia="en-US"/>
        </w:rPr>
        <w:t xml:space="preserve"> comprovação de regularidade fiscal, mesmo que esta apresente alguma restrição, sob pena de inabilitação.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color w:val="auto"/>
          <w:sz w:val="20"/>
          <w:szCs w:val="20"/>
        </w:rPr>
        <w:t>12.10 Qualificação Econômico-Financeira</w:t>
      </w:r>
      <w:r>
        <w:rPr>
          <w:rFonts w:cs="Verdana" w:ascii="Verdana" w:hAnsi="Verdana"/>
          <w:color w:val="auto"/>
          <w:sz w:val="20"/>
          <w:szCs w:val="20"/>
        </w:rPr>
        <w:t>.</w:t>
      </w:r>
    </w:p>
    <w:p>
      <w:pPr>
        <w:pStyle w:val="Normal"/>
        <w:tabs>
          <w:tab w:val="clear" w:pos="708"/>
          <w:tab w:val="left" w:pos="850" w:leader="none"/>
        </w:tabs>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76" w:before="57" w:after="57"/>
        <w:ind w:left="0" w:right="0"/>
        <w:jc w:val="both"/>
        <w:rPr>
          <w:rFonts w:ascii="Verdana" w:hAnsi="Verdana"/>
          <w:sz w:val="20"/>
          <w:szCs w:val="20"/>
        </w:rPr>
      </w:pPr>
      <w:r>
        <w:rPr>
          <w:rFonts w:cs="Verdana" w:ascii="Verdana" w:hAnsi="Verdana"/>
          <w:b w:val="false"/>
          <w:bCs w:val="false"/>
          <w:color w:val="auto"/>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cs="Verdana" w:ascii="Verdana" w:hAnsi="Verdana"/>
          <w:b w:val="false"/>
          <w:bCs w:val="false"/>
          <w:color w:val="auto"/>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cs="Verdana" w:ascii="Verdana" w:hAnsi="Verdana"/>
          <w:b w:val="false"/>
          <w:bCs w:val="false"/>
          <w:color w:val="auto"/>
          <w:sz w:val="20"/>
          <w:szCs w:val="20"/>
          <w:lang w:eastAsia="en-US"/>
        </w:rPr>
        <w:t xml:space="preserve">12.10.4 </w:t>
      </w:r>
      <w:r>
        <w:rPr>
          <w:rFonts w:cs="Verdana" w:ascii="Verdana" w:hAnsi="Verdana"/>
          <w:color w:val="auto"/>
          <w:sz w:val="20"/>
          <w:szCs w:val="2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76" w:before="57" w:after="57"/>
        <w:ind w:hanging="0" w:left="0" w:right="0"/>
        <w:jc w:val="both"/>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hanging="0" w:left="0" w:right="0"/>
        <w:rPr>
          <w:rFonts w:ascii="Verdana" w:hAnsi="Verdana"/>
          <w:sz w:val="20"/>
          <w:szCs w:val="20"/>
        </w:rPr>
      </w:pPr>
      <w:r>
        <w:rPr>
          <w:rFonts w:cs="Times New Roman" w:ascii="Verdana" w:hAnsi="Verdana"/>
          <w:b/>
          <w:bCs/>
          <w:color w:val="auto"/>
          <w:sz w:val="20"/>
          <w:szCs w:val="20"/>
        </w:rPr>
        <w:t xml:space="preserve">13. ADEQUAÇÃO ORÇAMENTÁRIA </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b w:val="false"/>
          <w:bCs w:val="false"/>
          <w:color w:val="auto"/>
          <w:sz w:val="20"/>
          <w:szCs w:val="20"/>
        </w:rPr>
        <w:t>13.1.</w:t>
      </w:r>
      <w:r>
        <w:rPr>
          <w:rFonts w:ascii="Verdana" w:hAnsi="Verdana"/>
          <w:b/>
          <w:bCs/>
          <w:color w:val="auto"/>
          <w:sz w:val="20"/>
          <w:szCs w:val="20"/>
        </w:rPr>
        <w:t xml:space="preserve"> </w:t>
      </w:r>
      <w:r>
        <w:rPr>
          <w:rFonts w:ascii="Verdana" w:hAnsi="Verdana"/>
          <w:color w:val="auto"/>
          <w:sz w:val="20"/>
          <w:szCs w:val="20"/>
        </w:rPr>
        <w:t xml:space="preserve">As despesas decorrentes da presente </w:t>
      </w:r>
      <w:r>
        <w:rPr>
          <w:rFonts w:eastAsia="Times New Roman" w:cs="Times New Roman" w:ascii="Verdana" w:hAnsi="Verdana"/>
          <w:color w:val="auto"/>
          <w:sz w:val="20"/>
          <w:szCs w:val="20"/>
        </w:rPr>
        <w:t>aquisição</w:t>
      </w:r>
      <w:r>
        <w:rPr>
          <w:rFonts w:ascii="Verdana" w:hAnsi="Verdana"/>
          <w:color w:val="auto"/>
          <w:sz w:val="20"/>
          <w:szCs w:val="20"/>
        </w:rPr>
        <w:t xml:space="preserve"> correrão à conta de recursos específicos consignados no Lei Orçamentária Anual, bem como requisição do sistema presente nos autos</w:t>
      </w:r>
      <w:r>
        <w:rPr>
          <w:rFonts w:cs="Arial" w:ascii="Verdana" w:hAnsi="Verdana"/>
          <w:b w:val="false"/>
          <w:bCs w:val="false"/>
          <w:color w:val="auto"/>
          <w:sz w:val="20"/>
          <w:szCs w:val="20"/>
          <w:u w:val="none"/>
        </w:rPr>
        <w:t>:</w:t>
      </w:r>
    </w:p>
    <w:p>
      <w:pPr>
        <w:pStyle w:val="Normal"/>
        <w:spacing w:lineRule="auto" w:line="276" w:before="57" w:after="57"/>
        <w:ind w:left="0" w:right="0"/>
        <w:jc w:val="both"/>
        <w:rPr>
          <w:rFonts w:ascii="Verdana" w:hAnsi="Verdana"/>
          <w:sz w:val="20"/>
          <w:szCs w:val="20"/>
        </w:rPr>
      </w:pPr>
      <w:r>
        <w:rPr>
          <w:rFonts w:eastAsia="Times New Roman" w:cs="Verdana" w:ascii="Verdana" w:hAnsi="Verdana"/>
          <w:b/>
          <w:bCs/>
          <w:color w:val="000000"/>
          <w:kern w:val="0"/>
          <w:sz w:val="20"/>
          <w:szCs w:val="20"/>
          <w:u w:val="single"/>
          <w:shd w:fill="FFFFFF" w:val="clear"/>
          <w:lang w:val="pt-BR" w:eastAsia="pt-BR" w:bidi="ar-SA"/>
        </w:rPr>
        <w:t>Projeto/Atividade – 000004000002.1030142032.404 – Manutenção da Atenção Básica com recursos do piso da Atenção Básica – Ficha 512  (MATERIAL DE CONSUMO) – Fonte de Recurso 160000000000</w:t>
      </w:r>
      <w:r>
        <w:rPr>
          <w:rFonts w:eastAsia="Times New Roman" w:cs="Verdana" w:ascii="Verdana" w:hAnsi="Verdana"/>
          <w:b w:val="false"/>
          <w:bCs w:val="false"/>
          <w:color w:val="000000"/>
          <w:kern w:val="0"/>
          <w:sz w:val="20"/>
          <w:szCs w:val="20"/>
          <w:u w:val="single"/>
          <w:shd w:fill="FFFFFF" w:val="clear"/>
          <w:lang w:val="pt-BR" w:eastAsia="pt-BR" w:bidi="ar-SA"/>
        </w:rPr>
        <w:t>.</w:t>
      </w:r>
    </w:p>
    <w:p>
      <w:pPr>
        <w:pStyle w:val="Normal"/>
        <w:spacing w:lineRule="auto" w:line="276" w:before="57" w:after="57"/>
        <w:ind w:left="0" w:right="0"/>
        <w:jc w:val="both"/>
        <w:rPr>
          <w:rFonts w:ascii="Verdana" w:hAnsi="Verdana" w:eastAsia="Times New Roman" w:cs="Verdana"/>
          <w:b w:val="false"/>
          <w:bCs w:val="false"/>
          <w:color w:val="auto"/>
          <w:kern w:val="0"/>
          <w:sz w:val="20"/>
          <w:szCs w:val="20"/>
          <w:u w:val="single"/>
          <w:shd w:fill="FFFFFF" w:val="clear"/>
          <w:lang w:val="pt-BR" w:eastAsia="pt-BR" w:bidi="ar-SA"/>
        </w:rPr>
      </w:pPr>
      <w:r>
        <w:rPr>
          <w:rFonts w:eastAsia="Times New Roman" w:cs="Verdana" w:ascii="Verdana" w:hAnsi="Verdana"/>
          <w:b w:val="false"/>
          <w:bCs w:val="false"/>
          <w:color w:val="000000"/>
          <w:kern w:val="0"/>
          <w:sz w:val="20"/>
          <w:szCs w:val="20"/>
          <w:u w:val="single"/>
          <w:shd w:fill="FFFFFF" w:val="clear"/>
          <w:lang w:val="pt-BR" w:eastAsia="pt-BR" w:bidi="ar-SA"/>
        </w:rPr>
      </w:r>
    </w:p>
    <w:p>
      <w:pPr>
        <w:pStyle w:val="Normal"/>
        <w:spacing w:lineRule="auto" w:line="276" w:before="57" w:after="57"/>
        <w:ind w:left="0" w:right="0"/>
        <w:jc w:val="both"/>
        <w:rPr>
          <w:rFonts w:ascii="Verdana" w:hAnsi="Verdana"/>
          <w:sz w:val="20"/>
          <w:szCs w:val="20"/>
        </w:rPr>
      </w:pPr>
      <w:r>
        <w:rPr>
          <w:rFonts w:cs="Arial" w:ascii="Verdana" w:hAnsi="Verdana"/>
          <w:b/>
          <w:bCs/>
          <w:color w:val="auto"/>
          <w:sz w:val="20"/>
          <w:szCs w:val="20"/>
        </w:rPr>
        <w:t>14. DOS RESPONSÁVEIS PELA ELABORAÇÃO DO TERMO DE REFERÊNCIA</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auto"/>
          <w:sz w:val="20"/>
          <w:szCs w:val="20"/>
        </w:rPr>
        <w:t>14.1. A compilação d</w:t>
      </w:r>
      <w:r>
        <w:rPr>
          <w:rFonts w:eastAsia="Times New Roman" w:cs="Arial" w:ascii="Verdana" w:hAnsi="Verdana"/>
          <w:b w:val="false"/>
          <w:bCs w:val="false"/>
          <w:color w:val="auto"/>
          <w:sz w:val="20"/>
          <w:szCs w:val="20"/>
        </w:rPr>
        <w:t>e parte das</w:t>
      </w:r>
      <w:r>
        <w:rPr>
          <w:rFonts w:cs="Arial" w:ascii="Verdana" w:hAnsi="Verdana"/>
          <w:b w:val="false"/>
          <w:bCs w:val="false"/>
          <w:color w:val="auto"/>
          <w:sz w:val="20"/>
          <w:szCs w:val="20"/>
        </w:rPr>
        <w:t xml:space="preserve"> informações mencionados </w:t>
      </w:r>
      <w:r>
        <w:rPr>
          <w:rFonts w:eastAsia="Times New Roman" w:cs="Arial" w:ascii="Verdana" w:hAnsi="Verdana"/>
          <w:b w:val="false"/>
          <w:bCs w:val="false"/>
          <w:color w:val="auto"/>
          <w:sz w:val="20"/>
          <w:szCs w:val="20"/>
        </w:rPr>
        <w:t>na</w:t>
      </w:r>
      <w:r>
        <w:rPr>
          <w:rFonts w:cs="Arial" w:ascii="Verdana" w:hAnsi="Verdana"/>
          <w:b w:val="false"/>
          <w:bCs w:val="false"/>
          <w:color w:val="auto"/>
          <w:sz w:val="20"/>
          <w:szCs w:val="20"/>
        </w:rPr>
        <w:t xml:space="preserve"> elaboração deste Termo de Referência foram estruturadas através do ETP – Estudo Técnico Preliminar elaborado pela secretaria requisitante.</w:t>
      </w:r>
    </w:p>
    <w:p>
      <w:pPr>
        <w:pStyle w:val="Normal"/>
        <w:spacing w:lineRule="auto" w:line="276" w:before="57" w:after="57"/>
        <w:ind w:left="0" w:right="0"/>
        <w:jc w:val="right"/>
        <w:rPr>
          <w:rFonts w:ascii="Verdana" w:hAnsi="Verdana"/>
          <w:sz w:val="20"/>
          <w:szCs w:val="20"/>
        </w:rPr>
      </w:pPr>
      <w:r>
        <w:rPr>
          <w:rFonts w:ascii="Verdana" w:hAnsi="Verdana"/>
          <w:color w:val="auto"/>
          <w:sz w:val="20"/>
          <w:szCs w:val="20"/>
        </w:rPr>
        <w:t>São Gabriel da Palha, 15 de outubro de 2024</w:t>
      </w:r>
    </w:p>
    <w:p>
      <w:pPr>
        <w:pStyle w:val="Normal"/>
        <w:spacing w:lineRule="auto" w:line="276" w:before="57" w:after="57"/>
        <w:ind w:left="0" w:right="0"/>
        <w:jc w:val="right"/>
        <w:rPr>
          <w:rFonts w:ascii="Verdana" w:hAnsi="Verdana" w:cs="Arial"/>
          <w:b/>
          <w:color w:val="auto"/>
          <w:sz w:val="20"/>
          <w:szCs w:val="20"/>
          <w:u w:val="single"/>
        </w:rPr>
      </w:pPr>
      <w:r>
        <w:rPr>
          <w:rFonts w:cs="Arial" w:ascii="Verdana" w:hAnsi="Verdana"/>
          <w:b/>
          <w:color w:val="auto"/>
          <w:sz w:val="20"/>
          <w:szCs w:val="20"/>
          <w:u w:val="single"/>
        </w:rPr>
      </w:r>
    </w:p>
    <w:p>
      <w:pPr>
        <w:pStyle w:val="Normal"/>
        <w:spacing w:lineRule="auto" w:line="276" w:before="57" w:after="57"/>
        <w:ind w:left="0" w:right="0"/>
        <w:jc w:val="right"/>
        <w:rPr>
          <w:rFonts w:ascii="Verdana" w:hAnsi="Verdana" w:cs="Arial"/>
          <w:b/>
          <w:color w:val="auto"/>
          <w:sz w:val="20"/>
          <w:szCs w:val="20"/>
          <w:u w:val="single"/>
        </w:rPr>
      </w:pPr>
      <w:r>
        <w:rPr>
          <w:rFonts w:cs="Arial" w:ascii="Verdana" w:hAnsi="Verdana"/>
          <w:b/>
          <w:color w:val="auto"/>
          <w:sz w:val="20"/>
          <w:szCs w:val="20"/>
          <w:u w:val="single"/>
        </w:rPr>
      </w:r>
    </w:p>
    <w:p>
      <w:pPr>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50" w:right="905" w:gutter="0" w:header="227" w:top="851" w:footer="567" w:bottom="851"/>
          <w:pgNumType w:fmt="decimal"/>
          <w:formProt w:val="false"/>
          <w:textDirection w:val="lrTb"/>
          <w:docGrid w:type="default" w:linePitch="326" w:charSpace="0"/>
        </w:sectPr>
      </w:pPr>
    </w:p>
    <w:p>
      <w:pPr>
        <w:pStyle w:val="Normal"/>
        <w:spacing w:lineRule="auto" w:line="276" w:before="57" w:after="57"/>
        <w:ind w:left="0" w:right="0"/>
        <w:jc w:val="both"/>
        <w:rPr>
          <w:rFonts w:ascii="Verdana" w:hAnsi="Verdana"/>
          <w:sz w:val="20"/>
          <w:szCs w:val="20"/>
        </w:rPr>
      </w:pPr>
      <w:r>
        <w:rPr>
          <w:rFonts w:cs="Arial" w:ascii="Verdana" w:hAnsi="Verdana"/>
          <w:b/>
          <w:bCs/>
          <w:color w:val="auto"/>
          <w:sz w:val="20"/>
          <w:szCs w:val="20"/>
        </w:rPr>
        <w:t>Elaborado por:</w:t>
      </w:r>
    </w:p>
    <w:p>
      <w:pPr>
        <w:pStyle w:val="Normal"/>
        <w:spacing w:lineRule="auto" w:line="276" w:before="57" w:after="57"/>
        <w:ind w:left="0" w:right="0"/>
        <w:rPr>
          <w:b w:val="false"/>
          <w:bCs w:val="false"/>
          <w:u w:val="none"/>
        </w:rPr>
      </w:pPr>
      <w:bookmarkEnd w:id="0"/>
      <w:bookmarkEnd w:id="1"/>
      <w:bookmarkEnd w:id="2"/>
      <w:bookmarkEnd w:id="3"/>
      <w:bookmarkEnd w:id="4"/>
      <w:bookmarkEnd w:id="5"/>
      <w:bookmarkEnd w:id="6"/>
      <w:r>
        <w:rPr>
          <w:rFonts w:cs="Arial" w:ascii="Verdana" w:hAnsi="Verdana"/>
          <w:b w:val="false"/>
          <w:bCs w:val="false"/>
          <w:color w:val="auto"/>
          <w:sz w:val="20"/>
          <w:szCs w:val="20"/>
          <w:u w:val="none"/>
        </w:rPr>
        <w:t>KARINA ARRIVABENE</w:t>
      </w:r>
    </w:p>
    <w:p>
      <w:pPr>
        <w:pStyle w:val="Normal"/>
        <w:spacing w:lineRule="auto" w:line="276" w:before="57" w:after="57"/>
        <w:ind w:left="0" w:right="0"/>
        <w:rPr>
          <w:b w:val="false"/>
          <w:bCs w:val="false"/>
          <w:u w:val="none"/>
        </w:rPr>
      </w:pPr>
      <w:r>
        <w:rPr>
          <w:rFonts w:cs="Arial" w:ascii="Verdana" w:hAnsi="Verdana"/>
          <w:b w:val="false"/>
          <w:bCs w:val="false"/>
          <w:color w:val="auto"/>
          <w:sz w:val="20"/>
          <w:szCs w:val="20"/>
          <w:u w:val="none"/>
        </w:rPr>
        <w:t>Escriturário</w:t>
      </w:r>
    </w:p>
    <w:p>
      <w:pPr>
        <w:pStyle w:val="Normal"/>
        <w:spacing w:lineRule="auto" w:line="276" w:before="57" w:after="57"/>
        <w:ind w:left="0" w:right="0"/>
        <w:rPr>
          <w:rFonts w:ascii="Verdana" w:hAnsi="Verdana"/>
          <w:sz w:val="20"/>
          <w:szCs w:val="20"/>
        </w:rPr>
      </w:pPr>
      <w:r>
        <w:rPr>
          <w:rFonts w:ascii="Verdana" w:hAnsi="Verdana"/>
          <w:color w:val="auto"/>
          <w:sz w:val="20"/>
          <w:szCs w:val="20"/>
        </w:rPr>
        <w:t>Mat nº 003463</w:t>
      </w:r>
    </w:p>
    <w:p>
      <w:pPr>
        <w:pStyle w:val="Normal"/>
        <w:spacing w:lineRule="auto" w:line="276" w:before="57" w:after="57"/>
        <w:ind w:left="0" w:right="0"/>
        <w:rPr>
          <w:rFonts w:ascii="Verdana" w:hAnsi="Verdana"/>
          <w:sz w:val="20"/>
          <w:szCs w:val="20"/>
        </w:rPr>
      </w:pPr>
      <w:r>
        <w:rPr>
          <w:rFonts w:ascii="Verdana" w:hAnsi="Verdana"/>
          <w:b/>
          <w:bCs/>
          <w:color w:val="auto"/>
          <w:sz w:val="20"/>
          <w:szCs w:val="20"/>
        </w:rPr>
        <w:t>Aprovado por:</w:t>
      </w:r>
    </w:p>
    <w:p>
      <w:pPr>
        <w:pStyle w:val="Normal"/>
        <w:spacing w:lineRule="auto" w:line="276" w:before="57" w:after="57"/>
        <w:ind w:left="0" w:right="0"/>
        <w:rPr>
          <w:rFonts w:ascii="Verdana" w:hAnsi="Verdana"/>
          <w:sz w:val="20"/>
          <w:szCs w:val="20"/>
        </w:rPr>
      </w:pPr>
      <w:r>
        <w:rPr>
          <w:rFonts w:ascii="Verdana" w:hAnsi="Verdana"/>
          <w:color w:val="auto"/>
          <w:sz w:val="20"/>
          <w:szCs w:val="20"/>
        </w:rPr>
        <w:t>MARCELLA FERREIRA ROSSONI ROCHA</w:t>
      </w:r>
    </w:p>
    <w:p>
      <w:pPr>
        <w:pStyle w:val="Normal"/>
        <w:spacing w:lineRule="auto" w:line="276" w:before="57" w:after="57"/>
        <w:ind w:left="0" w:right="0"/>
        <w:rPr>
          <w:rFonts w:ascii="Verdana" w:hAnsi="Verdana"/>
          <w:sz w:val="20"/>
          <w:szCs w:val="20"/>
        </w:rPr>
      </w:pPr>
      <w:r>
        <w:rPr>
          <w:rFonts w:ascii="Verdana" w:hAnsi="Verdana"/>
          <w:color w:val="auto"/>
          <w:sz w:val="20"/>
          <w:szCs w:val="20"/>
        </w:rPr>
        <w:t>Secretária Municipal de Saúde – Interina</w:t>
      </w:r>
    </w:p>
    <w:p>
      <w:pPr>
        <w:sectPr>
          <w:type w:val="continuous"/>
          <w:pgSz w:w="11906" w:h="16838"/>
          <w:pgMar w:left="1550" w:right="905" w:gutter="0" w:header="227" w:top="851" w:footer="567" w:bottom="851"/>
          <w:cols w:num="2" w:space="282" w:equalWidth="true" w:sep="false"/>
          <w:formProt w:val="false"/>
          <w:textDirection w:val="lrTb"/>
          <w:docGrid w:type="default" w:linePitch="326" w:charSpace="0"/>
        </w:sectPr>
      </w:pPr>
    </w:p>
    <w:p>
      <w:pPr>
        <w:pStyle w:val="Normal"/>
        <w:rPr/>
      </w:pPr>
      <w:r>
        <w:rPr/>
      </w:r>
    </w:p>
    <w:sectPr>
      <w:type w:val="continuous"/>
      <w:pgSz w:w="11906" w:h="16838"/>
      <w:pgMar w:left="1550" w:right="905" w:gutter="0" w:header="227" w:top="851" w:footer="567" w:bottom="851"/>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Verdana">
    <w:charset w:val="00"/>
    <w:family w:val="roman"/>
    <w:pitch w:val="variable"/>
  </w:font>
  <w:font w:name="Courier New">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2">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152"/>
        </w:tabs>
        <w:ind w:left="1152" w:hanging="360"/>
      </w:pPr>
      <w:rPr>
        <w:rFonts w:ascii="Symbol" w:hAnsi="Symbol" w:cs="Symbol" w:hint="default"/>
        <w:sz w:val="20"/>
        <w:szCs w:val="20"/>
      </w:rPr>
    </w:lvl>
    <w:lvl w:ilvl="1">
      <w:start w:val="1"/>
      <w:numFmt w:val="bullet"/>
      <w:lvlText w:val="◦"/>
      <w:lvlJc w:val="left"/>
      <w:pPr>
        <w:tabs>
          <w:tab w:val="num" w:pos="1512"/>
        </w:tabs>
        <w:ind w:left="1512" w:hanging="360"/>
      </w:pPr>
      <w:rPr>
        <w:rFonts w:ascii="OpenSymbol" w:hAnsi="OpenSymbol" w:cs="OpenSymbol" w:hint="default"/>
      </w:rPr>
    </w:lvl>
    <w:lvl w:ilvl="2">
      <w:start w:val="1"/>
      <w:numFmt w:val="bullet"/>
      <w:lvlText w:val="▪"/>
      <w:lvlJc w:val="left"/>
      <w:pPr>
        <w:tabs>
          <w:tab w:val="num" w:pos="1872"/>
        </w:tabs>
        <w:ind w:left="1872" w:hanging="360"/>
      </w:pPr>
      <w:rPr>
        <w:rFonts w:ascii="OpenSymbol" w:hAnsi="OpenSymbol" w:cs="OpenSymbol" w:hint="default"/>
      </w:rPr>
    </w:lvl>
    <w:lvl w:ilvl="3">
      <w:start w:val="1"/>
      <w:numFmt w:val="bullet"/>
      <w:lvlText w:val=""/>
      <w:lvlJc w:val="left"/>
      <w:pPr>
        <w:tabs>
          <w:tab w:val="num" w:pos="2232"/>
        </w:tabs>
        <w:ind w:left="2232" w:hanging="360"/>
      </w:pPr>
      <w:rPr>
        <w:rFonts w:ascii="Symbol" w:hAnsi="Symbol" w:cs="Symbol" w:hint="default"/>
      </w:rPr>
    </w:lvl>
    <w:lvl w:ilvl="4">
      <w:start w:val="1"/>
      <w:numFmt w:val="bullet"/>
      <w:lvlText w:val="◦"/>
      <w:lvlJc w:val="left"/>
      <w:pPr>
        <w:tabs>
          <w:tab w:val="num" w:pos="2592"/>
        </w:tabs>
        <w:ind w:left="2592" w:hanging="360"/>
      </w:pPr>
      <w:rPr>
        <w:rFonts w:ascii="OpenSymbol" w:hAnsi="OpenSymbol" w:cs="OpenSymbol" w:hint="default"/>
      </w:rPr>
    </w:lvl>
    <w:lvl w:ilvl="5">
      <w:start w:val="1"/>
      <w:numFmt w:val="bullet"/>
      <w:lvlText w:val="▪"/>
      <w:lvlJc w:val="left"/>
      <w:pPr>
        <w:tabs>
          <w:tab w:val="num" w:pos="2952"/>
        </w:tabs>
        <w:ind w:left="2952" w:hanging="360"/>
      </w:pPr>
      <w:rPr>
        <w:rFonts w:ascii="OpenSymbol" w:hAnsi="OpenSymbol" w:cs="OpenSymbol" w:hint="default"/>
      </w:rPr>
    </w:lvl>
    <w:lvl w:ilvl="6">
      <w:start w:val="1"/>
      <w:numFmt w:val="bullet"/>
      <w:lvlText w:val=""/>
      <w:lvlJc w:val="left"/>
      <w:pPr>
        <w:tabs>
          <w:tab w:val="num" w:pos="3312"/>
        </w:tabs>
        <w:ind w:left="3312" w:hanging="360"/>
      </w:pPr>
      <w:rPr>
        <w:rFonts w:ascii="Symbol" w:hAnsi="Symbol" w:cs="Symbol" w:hint="default"/>
      </w:rPr>
    </w:lvl>
    <w:lvl w:ilvl="7">
      <w:start w:val="1"/>
      <w:numFmt w:val="bullet"/>
      <w:lvlText w:val="◦"/>
      <w:lvlJc w:val="left"/>
      <w:pPr>
        <w:tabs>
          <w:tab w:val="num" w:pos="3672"/>
        </w:tabs>
        <w:ind w:left="3672" w:hanging="360"/>
      </w:pPr>
      <w:rPr>
        <w:rFonts w:ascii="OpenSymbol" w:hAnsi="OpenSymbol" w:cs="OpenSymbol" w:hint="default"/>
      </w:rPr>
    </w:lvl>
    <w:lvl w:ilvl="8">
      <w:start w:val="1"/>
      <w:numFmt w:val="bullet"/>
      <w:lvlText w:val="▪"/>
      <w:lvlJc w:val="left"/>
      <w:pPr>
        <w:tabs>
          <w:tab w:val="num" w:pos="4032"/>
        </w:tabs>
        <w:ind w:left="4032"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InternetLink" w:customStyle="1">
    <w:name w:val="Internet Link"/>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name w:val="Nivel_01 Char"/>
    <w:qFormat/>
    <w:rPr>
      <w:rFonts w:ascii="Ecofont_Spranq_eco_Sans" w:hAnsi="Ecofont_Spranq_eco_Sans" w:eastAsia="ＭＳ ゴシック" w:cs="Times New Roman"/>
      <w:b/>
      <w:bCs/>
      <w:color w:val="365F91"/>
      <w:sz w:val="32"/>
      <w:szCs w:val="32"/>
    </w:rPr>
  </w:style>
  <w:style w:type="character" w:styleId="Nivel01Char1">
    <w:name w:val="Nivel 01 Char"/>
    <w:qFormat/>
    <w:rPr>
      <w:rFonts w:ascii="Ecofont_Spranq_eco_Sans" w:hAnsi="Ecofont_Spranq_eco_Sans" w:eastAsia="ＭＳ ゴシック"/>
      <w:b/>
      <w:bCs/>
      <w:color w:val="000000"/>
    </w:rPr>
  </w:style>
  <w:style w:type="character" w:styleId="AssuntodocomentrioChar">
    <w:name w:val="Assunto do comentário Char"/>
    <w:qFormat/>
    <w:rPr>
      <w:rFonts w:ascii="Arial" w:hAnsi="Arial" w:cs="Tahoma"/>
      <w:b/>
      <w:bCs/>
    </w:rPr>
  </w:style>
  <w:style w:type="character" w:styleId="TextodecomentrioChar">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apple-style-span">
    <w:name w:val="apple-style-span"/>
    <w:qFormat/>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cs="Tahoma"/>
      <w:sz w:val="16"/>
      <w:szCs w:val="16"/>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qFormat/>
    <w:rPr>
      <w:rFonts w:ascii="Arial" w:hAnsi="Arial" w:eastAsia="Times New Roman" w:cs="Arial"/>
      <w:b/>
      <w:bCs/>
      <w:sz w:val="26"/>
      <w:szCs w:val="26"/>
    </w:rPr>
  </w:style>
  <w:style w:type="character" w:styleId="Ttulo7Char">
    <w:name w:val="Título 7 Char"/>
    <w:qFormat/>
    <w:rPr>
      <w:rFonts w:ascii="Cambria" w:hAnsi="Cambria" w:eastAsia="Calibri" w:cs="Tahoma"/>
      <w:i/>
      <w:iCs/>
      <w:color w:val="404040"/>
      <w:sz w:val="24"/>
      <w:szCs w:val="24"/>
    </w:rPr>
  </w:style>
  <w:style w:type="character" w:styleId="NormalWebChar">
    <w:name w:val="Normal (Web) Char"/>
    <w:qFormat/>
    <w:rPr>
      <w:rFonts w:ascii="Times New Roman" w:hAnsi="Times New Roman" w:eastAsia="Times New Roman" w:cs="Times New Roman"/>
      <w:sz w:val="24"/>
      <w:szCs w:val="24"/>
    </w:rPr>
  </w:style>
  <w:style w:type="character" w:styleId="PargrafoNormalChar">
    <w:name w:val="Parágrafo Normal Char"/>
    <w:qFormat/>
    <w:rPr>
      <w:rFonts w:ascii="Times New Roman" w:hAnsi="Times New Roman" w:eastAsia="Times New Roman" w:cs="Times New Roman"/>
      <w:sz w:val="24"/>
      <w:szCs w:val="24"/>
    </w:rPr>
  </w:style>
  <w:style w:type="character" w:styleId="Hyperlink1">
    <w:name w:val="Hyperlink1"/>
    <w:qFormat/>
    <w:rPr>
      <w:color w:val="000080"/>
      <w:u w:val="single"/>
    </w:rPr>
  </w:style>
  <w:style w:type="character" w:styleId="fontecinza1">
    <w:name w:val="fonte_cinza1"/>
    <w:qFormat/>
    <w:rPr>
      <w:rFonts w:ascii="Verdana" w:hAnsi="Verdana" w:cs="Verdana"/>
      <w:color w:val="333333"/>
      <w:sz w:val="15"/>
      <w:szCs w:val="15"/>
    </w:rPr>
  </w:style>
  <w:style w:type="character" w:styleId="Fontepargpadro">
    <w:name w:val="Fonte parág. padrão"/>
    <w:qFormat/>
    <w:rPr/>
  </w:style>
  <w:style w:type="character" w:styleId="WW8Num6z1">
    <w:name w:val="WW8Num6z1"/>
    <w:qFormat/>
    <w:rPr>
      <w:rFonts w:ascii="Courier New" w:hAnsi="Courier New" w:cs="Courier New"/>
    </w:rPr>
  </w:style>
  <w:style w:type="character" w:styleId="WW8Num5z1">
    <w:name w:val="WW8Num5z1"/>
    <w:qFormat/>
    <w:rPr>
      <w:rFonts w:ascii="Courier New" w:hAnsi="Courier New" w:cs="Courier New"/>
    </w:rPr>
  </w:style>
  <w:style w:type="character" w:styleId="WW8Num4z1">
    <w:name w:val="WW8Num4z1"/>
    <w:qFormat/>
    <w:rPr>
      <w:rFonts w:ascii="Courier New" w:hAnsi="Courier New" w:cs="Courier New"/>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Marcadores">
    <w:name w:val="Marcadores"/>
    <w:qFormat/>
    <w:rPr>
      <w:rFonts w:ascii="OpenSymbol" w:hAnsi="OpenSymbol" w:eastAsia="OpenSymbol" w:cs="OpenSymbol"/>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hanging="0" w:left="72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name w:val="Nivel 5"/>
    <w:qFormat/>
    <w:pPr>
      <w:widowControl/>
      <w:tabs>
        <w:tab w:val="clear" w:pos="708"/>
        <w:tab w:val="left" w:pos="360" w:leader="none"/>
      </w:tabs>
      <w:suppressAutoHyphens w:val="true"/>
      <w:bidi w:val="0"/>
      <w:spacing w:lineRule="auto" w:line="276" w:before="120" w:after="120"/>
      <w:ind w:hanging="0" w:left="3485"/>
      <w:jc w:val="both"/>
    </w:pPr>
    <w:rPr>
      <w:rFonts w:ascii="Ecofont_Spranq_eco_Sans" w:hAnsi="Ecofont_Spranq_eco_Sans" w:eastAsia="Arial Unicode MS" w:cs="Arial"/>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bidi w:val="0"/>
      <w:spacing w:lineRule="auto" w:line="276" w:before="120" w:after="120"/>
      <w:ind w:hanging="0" w:left="2491"/>
      <w:jc w:val="both"/>
    </w:pPr>
    <w:rPr>
      <w:rFonts w:ascii="Ecofont_Spranq_eco_Sans" w:hAnsi="Ecofont_Spranq_eco_Sans" w:eastAsia="Arial Unicode MS" w:cs="Arial"/>
      <w:color w:val="auto"/>
      <w:kern w:val="0"/>
      <w:sz w:val="22"/>
      <w:szCs w:val="22"/>
      <w:lang w:val="pt-BR" w:eastAsia="en-US" w:bidi="ar-SA"/>
    </w:rPr>
  </w:style>
  <w:style w:type="paragraph" w:styleId="Nivel11">
    <w:name w:val="Nivel 1"/>
    <w:qFormat/>
    <w:pPr>
      <w:widowControl/>
      <w:tabs>
        <w:tab w:val="clear" w:pos="708"/>
        <w:tab w:val="left" w:pos="360" w:leader="none"/>
      </w:tabs>
      <w:suppressAutoHyphens w:val="true"/>
      <w:bidi w:val="0"/>
      <w:spacing w:lineRule="auto" w:line="276" w:before="120" w:after="120"/>
      <w:ind w:hanging="432" w:left="644"/>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name w:val="Parágrafo da Lista1"/>
    <w:basedOn w:val="Normal"/>
    <w:qFormat/>
    <w:pPr>
      <w:ind w:hanging="0" w:left="720"/>
    </w:pPr>
    <w:rPr>
      <w:rFonts w:ascii="Ecofont_Spranq_eco_Sans" w:hAnsi="Ecofont_Spranq_eco_Sans" w:cs="Ecofont_Spranq_eco_Sans"/>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rPr>
  </w:style>
  <w:style w:type="paragraph" w:styleId="Nivel01">
    <w:name w:val="Nivel_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365F91"/>
      <w:sz w:val="20"/>
      <w:szCs w:val="20"/>
    </w:rPr>
  </w:style>
  <w:style w:type="paragraph" w:styleId="Nivel01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cs="Times New Roman"/>
      <w:i/>
      <w:iCs/>
      <w:color w:val="000000"/>
      <w:lang w:val="x-none" w:eastAsia="en-US"/>
    </w:rPr>
  </w:style>
  <w:style w:type="paragraph" w:styleId="ListBullet5">
    <w:name w:val="List Bullet 5"/>
    <w:basedOn w:val="Normal"/>
    <w:qFormat/>
    <w:pPr>
      <w:spacing w:before="0" w:after="0"/>
      <w:contextualSpacing/>
    </w:pPr>
    <w:rPr/>
  </w:style>
  <w:style w:type="paragraph" w:styleId="Nvel2">
    <w:name w:val="Nível 2"/>
    <w:basedOn w:val="Normal"/>
    <w:qFormat/>
    <w:pPr>
      <w:spacing w:before="0" w:after="120"/>
      <w:jc w:val="both"/>
    </w:pPr>
    <w:rPr>
      <w:rFonts w:cs="Times New Roman"/>
      <w:b/>
      <w:szCs w:val="20"/>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Autospacing="1" w:afterAutospacing="1"/>
    </w:pPr>
    <w:rPr>
      <w:rFonts w:ascii="Times New Roman" w:hAnsi="Times New Roman" w:cs="Times New Roma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paragraph" w:styleId="Ttulo1">
    <w:name w:val="Título1"/>
    <w:basedOn w:val="Normal"/>
    <w:qFormat/>
    <w:pPr>
      <w:keepNext w:val="true"/>
      <w:spacing w:before="240" w:after="120"/>
    </w:pPr>
    <w:rPr>
      <w:rFonts w:ascii="Liberation Sans" w:hAnsi="Liberation Sans" w:eastAsia="Microsoft YaHei" w:cs="Arial"/>
      <w:sz w:val="28"/>
      <w:szCs w:val="28"/>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qFormat/>
    <w:pPr>
      <w:widowControl w:val="false"/>
      <w:suppressAutoHyphens w:val="true"/>
      <w:bidi w:val="0"/>
      <w:spacing w:before="0" w:after="120"/>
      <w:jc w:val="both"/>
    </w:pPr>
    <w:rPr>
      <w:rFonts w:ascii="Liberation Serif" w:hAnsi="Liberation Serif" w:eastAsia="NSimSun" w:cs="Lucida Sans"/>
      <w:color w:val="auto"/>
      <w:kern w:val="2"/>
      <w:sz w:val="24"/>
      <w:szCs w:val="24"/>
      <w:lang w:val="pt-BR" w:eastAsia="zh-CN" w:bidi="hi-IN"/>
    </w:rPr>
  </w:style>
  <w:style w:type="paragraph" w:styleId="PargrafoNormal">
    <w:name w:val="Parágrafo Normal"/>
    <w:basedOn w:val="Normal"/>
    <w:qFormat/>
    <w:pPr>
      <w:spacing w:before="0" w:after="120"/>
      <w:jc w:val="both"/>
    </w:pPr>
    <w:rPr/>
  </w:style>
  <w:style w:type="paragraph" w:styleId="Nvel2-Red">
    <w:name w:val="Nível 2 -Red"/>
    <w:qFormat/>
    <w:pPr>
      <w:widowControl w:val="false"/>
      <w:suppressAutoHyphens w:val="true"/>
      <w:bidi w:val="0"/>
      <w:spacing w:lineRule="auto" w:line="276" w:before="120" w:after="120"/>
      <w:jc w:val="both"/>
    </w:pPr>
    <w:rPr>
      <w:rFonts w:ascii="Arial" w:hAnsi="Arial" w:eastAsia="Arial" w:cs="Arial"/>
      <w:i/>
      <w:iCs/>
      <w:color w:val="FF0000"/>
      <w:kern w:val="2"/>
      <w:sz w:val="20"/>
      <w:szCs w:val="20"/>
      <w:lang w:val="pt-BR" w:eastAsia="zh-CN" w:bidi="hi-IN"/>
    </w:rPr>
  </w:style>
  <w:style w:type="paragraph" w:styleId="xxdefault">
    <w:name w:val="x_xdefault"/>
    <w:basedOn w:val="Normal"/>
    <w:qFormat/>
    <w:pPr>
      <w:spacing w:before="280" w:after="280"/>
    </w:pPr>
    <w:rPr/>
  </w:style>
  <w:style w:type="paragraph" w:styleId="Textodebalo">
    <w:name w:val="Texto de balão"/>
    <w:basedOn w:val="Normal"/>
    <w:qFormat/>
    <w:pPr/>
    <w:rPr>
      <w:rFonts w:ascii="Tahoma" w:hAnsi="Tahoma" w:cs="Tahoma"/>
      <w:sz w:val="16"/>
      <w:szCs w:val="16"/>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933</TotalTime>
  <Application>LibreOffice/24.2.6.2$Windows_X86_64 LibreOffice_project/ef66aa7e36a1bb8e65bfbc63aba53045a14d0871</Application>
  <AppVersion>15.0000</AppVersion>
  <Pages>11</Pages>
  <Words>4386</Words>
  <Characters>25272</Characters>
  <CharactersWithSpaces>29501</CharactersWithSpaces>
  <Paragraphs>207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dcterms:modified xsi:type="dcterms:W3CDTF">2024-10-23T14:20:51Z</dcterms:modified>
  <cp:revision>133</cp:revision>
  <dc:subject/>
  <dc:title/>
</cp:coreProperties>
</file>

<file path=docProps/custom.xml><?xml version="1.0" encoding="utf-8"?>
<Properties xmlns="http://schemas.openxmlformats.org/officeDocument/2006/custom-properties" xmlns:vt="http://schemas.openxmlformats.org/officeDocument/2006/docPropsVTypes"/>
</file>